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jc w:val="center"/>
      </w:pPr>
      <w:r>
        <w:rPr>
          <w:b/>
          <w:bCs/>
          <w:color w:val="1E3A5F"/>
          <w:sz w:val="48"/>
          <w:szCs w:val="48"/>
        </w:rPr>
        <w:t xml:space="preserve">BIOHUB CELL TRACKING</w:t>
      </w:r>
    </w:p>
    <w:p>
      <w:pPr>
        <w:spacing w:after="60" w:before="80"/>
        <w:jc w:val="center"/>
      </w:pPr>
      <w:r>
        <w:rPr>
          <w:b/>
          <w:bCs/>
          <w:color w:val="3B82F6"/>
          <w:sz w:val="32"/>
          <w:szCs w:val="32"/>
        </w:rPr>
        <w:t xml:space="preserve">Ultra-Deep Phase-Wise Analysis Report</w:t>
      </w:r>
    </w:p>
    <w:p>
      <w:pPr>
        <w:spacing w:after="200"/>
        <w:jc w:val="center"/>
      </w:pPr>
      <w:r>
        <w:rPr>
          <w:i/>
          <w:iCs/>
          <w:color w:val="6B7280"/>
          <w:sz w:val="22"/>
          <w:szCs w:val="22"/>
        </w:rPr>
        <w:t xml:space="preserve">Data Model · EDA · Classical Baseline · GPU Deep-Learning Pipeline · Submission</w:t>
      </w:r>
    </w:p>
    <w:p>
      <w:pPr>
        <w:pBdr>
          <w:bottom w:val="single" w:color="3B82F6" w:sz="4" w:space="2"/>
        </w:pBdr>
        <w:spacing w:after="160" w:before="160"/>
      </w:pPr>
    </w:p>
    <w:p>
      <w:pPr>
        <w:spacing w:after="40" w:before="40"/>
      </w:pPr>
    </w:p>
    <w:p>
      <w:pPr>
        <w:spacing w:before="60"/>
        <w:jc w:val="center"/>
      </w:pPr>
      <w:r>
        <w:rPr>
          <w:b/>
          <w:bCs/>
          <w:sz w:val="22"/>
          <w:szCs w:val="22"/>
        </w:rPr>
        <w:t xml:space="preserve">Competition:</w:t>
      </w:r>
      <w:r>
        <w:rPr>
          <w:sz w:val="22"/>
          <w:szCs w:val="22"/>
        </w:rPr>
        <w:t xml:space="preserve">  CZI Biohub — Cell Tracking During Development</w:t>
      </w:r>
    </w:p>
    <w:p>
      <w:pPr>
        <w:spacing w:before="60"/>
        <w:jc w:val="center"/>
      </w:pPr>
      <w:r>
        <w:rPr>
          <w:b/>
          <w:bCs/>
          <w:sz w:val="22"/>
          <w:szCs w:val="22"/>
        </w:rPr>
        <w:t xml:space="preserve">Task:</w:t>
      </w:r>
      <w:r>
        <w:rPr>
          <w:sz w:val="22"/>
          <w:szCs w:val="22"/>
        </w:rPr>
        <w:t xml:space="preserve">  3D+time fluorescence microscopy cell detection, tracking &amp; division linking</w:t>
      </w:r>
    </w:p>
    <w:p>
      <w:pPr>
        <w:spacing w:before="60"/>
        <w:jc w:val="center"/>
      </w:pPr>
      <w:r>
        <w:rPr>
          <w:b/>
          <w:bCs/>
          <w:sz w:val="22"/>
          <w:szCs w:val="22"/>
        </w:rPr>
        <w:t xml:space="preserve">Pipeline Phases:</w:t>
      </w:r>
      <w:r>
        <w:rPr>
          <w:sz w:val="22"/>
          <w:szCs w:val="22"/>
        </w:rPr>
        <w:t xml:space="preserve">  0 – 11  (GPU-accelerated, Kaggle T4)</w:t>
      </w:r>
    </w:p>
    <w:p>
      <w:pPr>
        <w:spacing w:before="60"/>
        <w:jc w:val="center"/>
      </w:pPr>
      <w:r>
        <w:rPr>
          <w:b/>
          <w:bCs/>
          <w:sz w:val="22"/>
          <w:szCs w:val="22"/>
        </w:rPr>
        <w:t xml:space="preserve">Figures Produced:</w:t>
      </w:r>
      <w:r>
        <w:rPr>
          <w:sz w:val="22"/>
          <w:szCs w:val="22"/>
        </w:rPr>
        <w:t xml:space="preserve">  43 figures across all phases</w:t>
      </w:r>
    </w:p>
    <w:p>
      <w:pPr>
        <w:spacing w:before="60"/>
        <w:jc w:val="center"/>
      </w:pPr>
      <w:r>
        <w:rPr>
          <w:b/>
          <w:bCs/>
          <w:sz w:val="22"/>
          <w:szCs w:val="22"/>
        </w:rPr>
        <w:t xml:space="preserve">Submission Rows:</w:t>
      </w:r>
      <w:r>
        <w:rPr>
          <w:sz w:val="22"/>
          <w:szCs w:val="22"/>
        </w:rPr>
        <w:t xml:space="preserve">  86,054  (44,020 nodes + 42,034 edges)</w:t>
      </w:r>
    </w:p>
    <w:p>
      <w:pPr>
        <w:spacing w:before="60"/>
        <w:jc w:val="center"/>
      </w:pPr>
      <w:r>
        <w:rPr>
          <w:b/>
          <w:bCs/>
          <w:sz w:val="22"/>
          <w:szCs w:val="22"/>
        </w:rPr>
        <w:t xml:space="preserve">Active Detector:</w:t>
      </w:r>
      <w:r>
        <w:rPr>
          <w:sz w:val="22"/>
          <w:szCs w:val="22"/>
        </w:rPr>
        <w:t xml:space="preserve">  Classical (Otsu/Percentile Peak + NMS + Centroid Refinement)</w:t>
      </w:r>
    </w:p>
    <w:p>
      <w:pPr>
        <w:spacing w:after="200" w:before="60"/>
        <w:jc w:val="center"/>
      </w:pPr>
      <w:r>
        <w:rPr>
          <w:b/>
          <w:bCs/>
          <w:sz w:val="22"/>
          <w:szCs w:val="22"/>
        </w:rPr>
        <w:t xml:space="preserve">Date:</w:t>
      </w:r>
      <w:r>
        <w:rPr>
          <w:sz w:val="22"/>
          <w:szCs w:val="22"/>
        </w:rPr>
        <w:t xml:space="preserve">  July 2026</w:t>
      </w:r>
    </w:p>
    <w:p>
      <w:pPr>
        <w:pBdr>
          <w:bottom w:val="single" w:color="3B82F6" w:sz="4" w:space="2"/>
        </w:pBdr>
        <w:spacing w:after="160" w:before="160"/>
      </w:pPr>
    </w:p>
    <w:p>
      <w:pPr>
        <w:spacing w:before="80"/>
        <w:jc w:val="center"/>
      </w:pPr>
      <w:r>
        <w:rPr>
          <w:i/>
          <w:iCs/>
          <w:color w:val="9CA3AF"/>
          <w:sz w:val="18"/>
          <w:szCs w:val="18"/>
        </w:rPr>
        <w:t xml:space="preserve">Document Classification: Internal / Technical R&amp;D Report</w:t>
      </w:r>
    </w:p>
    <w:p>
      <w:r>
        <w:br w:type="page"/>
      </w:r>
    </w:p>
    <w:p>
      <w:pPr>
        <w:pStyle w:val="Heading1"/>
        <w:pageBreakBefore/>
        <w:spacing w:after="160" w:before="480"/>
      </w:pPr>
      <w:r>
        <w:t xml:space="preserve">Executive Summary</w:t>
      </w:r>
    </w:p>
    <w:p>
      <w:pPr>
        <w:spacing w:after="80" w:before="80"/>
        <w:jc w:val="both"/>
      </w:pPr>
      <w:r>
        <w:rPr>
          <w:sz w:val="22"/>
          <w:szCs w:val="22"/>
        </w:rPr>
        <w:t xml:space="preserve">This report documents the end-to-end, phase-by-phase execution of the Biohub Cell Tracking pipeline on the CZI Biohub zebrafish embryo dataset. The pipeline spans eleven explicit phases — from environment setup and GPU bring-up through deep metadata EDA, classical and deep-learning detection, Hungarian-gated tracking, local graph proxy scoring, and final submission build — producing 43 saved figures and 16 CSV artefacts across all phases.</w:t>
      </w:r>
    </w:p>
    <w:p>
      <w:pPr>
        <w:spacing w:after="40" w:before="40"/>
      </w:pPr>
    </w:p>
    <w:p>
      <w:pPr>
        <w:spacing w:after="100" w:before="160"/>
      </w:pPr>
      <w:r>
        <w:rPr>
          <w:b/>
          <w:bCs/>
          <w:color w:val="1E3A5F"/>
          <w:sz w:val="24"/>
          <w:szCs w:val="24"/>
        </w:rPr>
        <w:t xml:space="preserve">Headline Results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E3A5F" w:val="clear"/>
            <w:tcMar>
              <w:top w:type="dxa" w:w="80"/>
              <w:left w:type="dxa" w:w="120"/>
              <w:bottom w:type="dxa" w:w="80"/>
              <w:right w:type="dxa" w:w="120"/>
            </w:tcMar>
          </w:tcPr>
          <w:p>
            <w:pPr>
              <w:spacing w:after="60" w:before="60"/>
              <w:jc w:val="center"/>
            </w:pPr>
            <w:r>
              <w:rPr>
                <w:b/>
                <w:bCs/>
                <w:color w:val="FFFFFF"/>
                <w:sz w:val="19"/>
                <w:szCs w:val="19"/>
              </w:rPr>
              <w:t xml:space="preserve">Dimension</w:t>
            </w:r>
          </w:p>
        </w:tc>
        <w:tc>
          <w:tcPr>
            <w:tcW w:type="dxa" w:w="3400"/>
            <w:shd w:fill="1E3A5F" w:val="clear"/>
            <w:tcMar>
              <w:top w:type="dxa" w:w="80"/>
              <w:left w:type="dxa" w:w="120"/>
              <w:bottom w:type="dxa" w:w="80"/>
              <w:right w:type="dxa" w:w="120"/>
            </w:tcMar>
          </w:tcPr>
          <w:p>
            <w:pPr>
              <w:spacing w:after="60" w:before="60"/>
              <w:jc w:val="center"/>
            </w:pPr>
            <w:r>
              <w:rPr>
                <w:b/>
                <w:bCs/>
                <w:color w:val="FFFFFF"/>
                <w:sz w:val="19"/>
                <w:szCs w:val="19"/>
              </w:rPr>
              <w:t xml:space="preserve">Result</w:t>
            </w:r>
          </w:p>
        </w:tc>
        <w:tc>
          <w:tcPr>
            <w:tcW w:type="dxa" w:w="3400"/>
            <w:shd w:fill="1E3A5F" w:val="clear"/>
            <w:tcMar>
              <w:top w:type="dxa" w:w="80"/>
              <w:left w:type="dxa" w:w="120"/>
              <w:bottom w:type="dxa" w:w="80"/>
              <w:right w:type="dxa" w:w="120"/>
            </w:tcMar>
          </w:tcPr>
          <w:p>
            <w:pPr>
              <w:spacing w:after="60" w:before="60"/>
              <w:jc w:val="center"/>
            </w:pPr>
            <w:r>
              <w:rPr>
                <w:b/>
                <w:bCs/>
                <w:color w:val="FFFFFF"/>
                <w:sz w:val="19"/>
                <w:szCs w:val="19"/>
              </w:rPr>
              <w:t xml:space="preserve">Interpretation</w:t>
            </w:r>
          </w:p>
        </w:tc>
      </w:tr>
      <w:tr>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GPU Environment</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Tesla T4 (15.64 GB), torch 2.10.0+cu128</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Full CUDA acceleration confirmed; DL training branch available</w:t>
            </w:r>
          </w:p>
        </w:tc>
      </w:tr>
      <w:tr>
        <w:tc>
          <w:tcPr>
            <w:tcW w:type="dxa" w:w="2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Dataset scale</w:t>
            </w:r>
          </w:p>
        </w:tc>
        <w:tc>
          <w:tcPr>
            <w:tcW w:type="dxa" w:w="3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199 train samples / 4 test samples / 2 embryos each</w:t>
            </w:r>
          </w:p>
        </w:tc>
        <w:tc>
          <w:tcPr>
            <w:tcW w:type="dxa" w:w="3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Embryo-disjoint splits confirmed; all samples shape (100,64,256,256) uint16</w:t>
            </w:r>
          </w:p>
        </w:tc>
      </w:tr>
      <w:tr>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Active detector</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Classical: Otsu/percentile threshold + NMS + centroid refinement</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DL training not run in this execution (DL_TRAINED=False); classical pipeline used end-to-end</w:t>
            </w:r>
          </w:p>
        </w:tc>
      </w:tr>
      <w:tr>
        <w:tc>
          <w:tcPr>
            <w:tcW w:type="dxa" w:w="2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Submission produced</w:t>
            </w:r>
          </w:p>
        </w:tc>
        <w:tc>
          <w:tcPr>
            <w:tcW w:type="dxa" w:w="3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86,054 rows — 44,020 nodes + 42,034 edges</w:t>
            </w:r>
          </w:p>
        </w:tc>
        <w:tc>
          <w:tcPr>
            <w:tcW w:type="dxa" w:w="3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All 4 test samples processed; 6-point schema audit: ALL PASS</w:t>
            </w:r>
          </w:p>
        </w:tc>
      </w:tr>
      <w:tr>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Per-sample tracking time</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13.5 – 21.9 seconds per 100-frame volume</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Well within Kaggle time budget for the full hidden test set</w:t>
            </w:r>
          </w:p>
        </w:tc>
      </w:tr>
      <w:tr>
        <w:tc>
          <w:tcPr>
            <w:tcW w:type="dxa" w:w="2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Submission audit</w:t>
            </w:r>
          </w:p>
        </w:tc>
        <w:tc>
          <w:tcPr>
            <w:tcW w:type="dxa" w:w="3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6 of 6 checks PASS</w:t>
            </w:r>
          </w:p>
        </w:tc>
        <w:tc>
          <w:tcPr>
            <w:tcW w:type="dxa" w:w="3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No schema violations, no negative coordinates, no broken edge IDs</w:t>
            </w:r>
          </w:p>
        </w:tc>
      </w:tr>
      <w:tr>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Figures produced</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43 figures (phase 2 – phase 10)</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 figures contain placeholder content due to no training data mounted for certain phases</w:t>
            </w:r>
          </w:p>
        </w:tc>
      </w:tr>
    </w:tbl>
    <w:p>
      <w:pPr>
        <w:spacing w:after="40" w:before="40"/>
      </w:pPr>
    </w:p>
    <w:p>
      <w:pPr>
        <w:spacing w:after="80" w:before="80"/>
        <w:jc w:val="both"/>
      </w:pPr>
      <w:r>
        <w:rPr>
          <w:sz w:val="22"/>
          <w:szCs w:val="22"/>
        </w:rPr>
        <w:t xml:space="preserve">The pipeline degrades gracefully when the Kaggle dataset is not fully mounted (GT-dependent phases produce placeholder figures with explanatory notes) while generating a complete, schema-valid submission CSV from the available test volumes. Figures that display as blank/placeholder are documented with root-cause explanations in their respective phase sections below.</w:t>
      </w:r>
    </w:p>
    <w:p>
      <w:r>
        <w:br w:type="page"/>
      </w:r>
    </w:p>
    <w:p>
      <w:pPr>
        <w:pStyle w:val="Heading1"/>
        <w:pageBreakBefore/>
        <w:spacing w:after="160" w:before="480"/>
      </w:pPr>
      <w:r>
        <w:t xml:space="preserve">1. Dataset Description &amp; Problem Contract</w:t>
      </w:r>
    </w:p>
    <w:p>
      <w:pPr>
        <w:pStyle w:val="Heading2"/>
        <w:spacing w:after="120" w:before="320"/>
      </w:pPr>
      <w:r>
        <w:t xml:space="preserve">1.1 Competition Overview</w:t>
      </w:r>
    </w:p>
    <w:p>
      <w:pPr>
        <w:spacing w:after="80" w:before="80"/>
        <w:jc w:val="both"/>
      </w:pPr>
      <w:r>
        <w:rPr>
          <w:sz w:val="22"/>
          <w:szCs w:val="22"/>
        </w:rPr>
        <w:t xml:space="preserve">The CZI Biohub "Cell Tracking During Development" competition challenges participants to detect and track fluorescently labelled cells in 3D+time microscopy volumes of zebrafish embryos. Each sample is a short video of embryo development captured as a four-dimensional image volume (T frames × Z slices × Y rows × X columns).</w:t>
      </w:r>
    </w:p>
    <w:p>
      <w:pPr>
        <w:spacing w:after="40" w:before="40"/>
      </w:pPr>
    </w:p>
    <w:p>
      <w:pPr>
        <w:pStyle w:val="Heading2"/>
        <w:spacing w:after="120" w:before="320"/>
      </w:pPr>
      <w:r>
        <w:t xml:space="preserve">1.2 Image Volume Format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Storage format</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Zarr v3 (.zarr directory)</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Array path</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0/ — single array per sample</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Shape</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 Z, Y, X) — typically (100, 64, 256, 256)</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Data type</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uint16 — 16-bit unsigned integer fluorescence intensity</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Chunk layout</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One timepoint per chunk: 0/c/{t}/0/0/0</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Compression</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blosc/zstd per chunk</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Voxel scale (z)</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1.625 µm/voxel</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Voxel scale (y, x)</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0.40625 µm/voxel each (anisotropic — z is ~4× coarser than xy)</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Physical gate</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7.0 µm matching radius used by the official metric</w:t>
            </w:r>
          </w:p>
        </w:tc>
      </w:tr>
    </w:tbl>
    <w:p>
      <w:pPr>
        <w:spacing w:after="40" w:before="40"/>
      </w:pPr>
    </w:p>
    <w:p>
      <w:pPr>
        <w:pStyle w:val="Heading2"/>
        <w:spacing w:after="120" w:before="320"/>
      </w:pPr>
      <w:r>
        <w:t xml:space="preserve">1.3 Ground-Truth Format (.geff)</w:t>
      </w:r>
    </w:p>
    <w:p>
      <w:pPr>
        <w:spacing w:after="80" w:before="80"/>
        <w:jc w:val="both"/>
      </w:pPr>
      <w:r>
        <w:rPr>
          <w:sz w:val="22"/>
          <w:szCs w:val="22"/>
        </w:rPr>
        <w:t xml:space="preserve">Training annotations are provided as .geff (Graph Exchange Format, also Zarr v3) directories. Annotations are sparse — not every cell in every frame is labelled. The estimated_number_of_nodes field in .geff metadata anchors expected total cell count per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nodes/ids</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Integer node ID array</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nodes/props/{t,z,y,x}/values</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Integer centroid coordinates (voxels) per node</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edges/ids</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(N, 2) array — (source_id, target_id) directed temporal links</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Annotation sparsity</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Sparse — only a subset of cells per frame are labelled</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estimated_number_of_nodes</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Metadata field estimating true total cell count per sample</w:t>
            </w:r>
          </w:p>
        </w:tc>
      </w:tr>
    </w:tbl>
    <w:p>
      <w:pPr>
        <w:spacing w:after="40" w:before="40"/>
      </w:pPr>
    </w:p>
    <w:p>
      <w:pPr>
        <w:pStyle w:val="Heading2"/>
        <w:spacing w:after="120" w:before="320"/>
      </w:pPr>
      <w:r>
        <w:t xml:space="preserve">1.4 Dataset Split Statistics</w:t>
      </w:r>
    </w:p>
    <w:p>
      <w:pPr>
        <w:spacing w:after="40" w:before="8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86000"/>
                    </a:xfrm>
                    <a:prstGeom prst="rect">
                      <a:avLst/>
                    </a:prstGeom>
                  </pic:spPr>
                </pic:pic>
              </a:graphicData>
            </a:graphic>
          </wp:inline>
        </w:drawing>
      </w:r>
    </w:p>
    <w:p>
      <w:pPr>
        <w:spacing w:after="160" w:before="0"/>
        <w:jc w:val="center"/>
      </w:pPr>
      <w:r>
        <w:rPr>
          <w:i/>
          <w:iCs/>
          <w:color w:val="444444"/>
          <w:sz w:val="18"/>
          <w:szCs w:val="18"/>
        </w:rPr>
        <w:t xml:space="preserve">Fig 2-01. Sample and embryo counts per split — train (199 samples, 2 embryos) and test (4 samples, 2 embryos).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Training samples</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199 samples across 2 embryo IDs (44b6, 6bba)</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Test samples</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4 samples across 2 embryo IDs</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Embryo disjoint</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Train and test share no embryo IDs — confirmed by pipeline</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Uniform shape</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All samples: T=100, Z=64, Y=256, X=256</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GT coverage</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All 199 train samples have paired .geff annotations</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Test GT</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Not provided (held out by competition)</w:t>
            </w:r>
          </w:p>
        </w:tc>
      </w:tr>
    </w:tbl>
    <w:p>
      <w:pPr>
        <w:spacing w:after="40" w:before="40"/>
      </w:pPr>
    </w:p>
    <w:p>
      <w:pPr>
        <w:pStyle w:val="Heading2"/>
        <w:spacing w:after="120" w:before="320"/>
      </w:pPr>
      <w:r>
        <w:t xml:space="preserve">1.5 Naming Convention</w:t>
      </w:r>
    </w:p>
    <w:p>
      <w:pPr>
        <w:spacing w:after="80" w:before="80"/>
        <w:jc w:val="both"/>
      </w:pPr>
      <w:r>
        <w:rPr>
          <w:sz w:val="22"/>
          <w:szCs w:val="22"/>
        </w:rPr>
        <w:t xml:space="preserve">Folder names follow the pattern {embryo_id}_{field_of_view}, e.g. 44b6_0049_0438_1330_1273. The first segment (44b6 or 6bba) identifies the embryo. Multiple samples may share the same embryo. Train and test sets are embryo-disjoint by design.</w:t>
      </w:r>
    </w:p>
    <w:p>
      <w:pPr>
        <w:spacing w:after="40" w:before="40"/>
      </w:pPr>
    </w:p>
    <w:p>
      <w:pPr>
        <w:pStyle w:val="Heading2"/>
        <w:spacing w:after="120" w:before="320"/>
      </w:pPr>
      <w:r>
        <w:t xml:space="preserve">1.6 Output Schema (Submission Contract)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00"/>
      </w:tblGrid>
      <w:tr>
        <w:trPr>
          <w:tblHeader/>
        </w:trPr>
        <w:tc>
          <w:tcPr>
            <w:tcW w:type="dxa" w:w="1400"/>
            <w:shd w:fill="1E3A5F" w:val="clear"/>
            <w:tcMar>
              <w:top w:type="dxa" w:w="80"/>
              <w:left w:type="dxa" w:w="120"/>
              <w:bottom w:type="dxa" w:w="80"/>
              <w:right w:type="dxa" w:w="120"/>
            </w:tcMar>
          </w:tcPr>
          <w:p>
            <w:pPr>
              <w:spacing w:after="60" w:before="60"/>
              <w:jc w:val="center"/>
            </w:pPr>
            <w:r>
              <w:rPr>
                <w:b/>
                <w:bCs/>
                <w:color w:val="FFFFFF"/>
                <w:sz w:val="19"/>
                <w:szCs w:val="19"/>
              </w:rPr>
              <w:t xml:space="preserve">Column</w:t>
            </w:r>
          </w:p>
        </w:tc>
        <w:tc>
          <w:tcPr>
            <w:tcW w:type="dxa" w:w="3800"/>
            <w:shd w:fill="1E3A5F" w:val="clear"/>
            <w:tcMar>
              <w:top w:type="dxa" w:w="80"/>
              <w:left w:type="dxa" w:w="120"/>
              <w:bottom w:type="dxa" w:w="80"/>
              <w:right w:type="dxa" w:w="120"/>
            </w:tcMar>
          </w:tcPr>
          <w:p>
            <w:pPr>
              <w:spacing w:after="60" w:before="60"/>
              <w:jc w:val="center"/>
            </w:pPr>
            <w:r>
              <w:rPr>
                <w:b/>
                <w:bCs/>
                <w:color w:val="FFFFFF"/>
                <w:sz w:val="19"/>
                <w:szCs w:val="19"/>
              </w:rPr>
              <w:t xml:space="preserve">Node rows</w:t>
            </w:r>
          </w:p>
        </w:tc>
        <w:tc>
          <w:tcPr>
            <w:tcW w:type="dxa" w:w="3800"/>
            <w:shd w:fill="1E3A5F" w:val="clear"/>
            <w:tcMar>
              <w:top w:type="dxa" w:w="80"/>
              <w:left w:type="dxa" w:w="120"/>
              <w:bottom w:type="dxa" w:w="80"/>
              <w:right w:type="dxa" w:w="120"/>
            </w:tcMar>
          </w:tcPr>
          <w:p>
            <w:pPr>
              <w:spacing w:after="60" w:before="60"/>
              <w:jc w:val="center"/>
            </w:pPr>
            <w:r>
              <w:rPr>
                <w:b/>
                <w:bCs/>
                <w:color w:val="FFFFFF"/>
                <w:sz w:val="19"/>
                <w:szCs w:val="19"/>
              </w:rPr>
              <w:t xml:space="preserve">Edge rows</w:t>
            </w:r>
          </w:p>
        </w:tc>
      </w:tr>
      <w:tr>
        <w:tc>
          <w:tcPr>
            <w:tcW w:type="dxa" w:w="1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id</w:t>
            </w:r>
          </w:p>
        </w:tc>
        <w:tc>
          <w:tcPr>
            <w:tcW w:type="dxa" w:w="3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Sequential integer row ID</w:t>
            </w:r>
          </w:p>
        </w:tc>
        <w:tc>
          <w:tcPr>
            <w:tcW w:type="dxa" w:w="3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Sequential integer row ID</w:t>
            </w:r>
          </w:p>
        </w:tc>
      </w:tr>
      <w:tr>
        <w:tc>
          <w:tcPr>
            <w:tcW w:type="dxa" w:w="1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dataset</w:t>
            </w:r>
          </w:p>
        </w:tc>
        <w:tc>
          <w:tcPr>
            <w:tcW w:type="dxa" w:w="3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Sample folder name</w:t>
            </w:r>
          </w:p>
        </w:tc>
        <w:tc>
          <w:tcPr>
            <w:tcW w:type="dxa" w:w="3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Sample folder name</w:t>
            </w:r>
          </w:p>
        </w:tc>
      </w:tr>
      <w:tr>
        <w:tc>
          <w:tcPr>
            <w:tcW w:type="dxa" w:w="1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row_type</w:t>
            </w:r>
          </w:p>
        </w:tc>
        <w:tc>
          <w:tcPr>
            <w:tcW w:type="dxa" w:w="3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"node"</w:t>
            </w:r>
          </w:p>
        </w:tc>
        <w:tc>
          <w:tcPr>
            <w:tcW w:type="dxa" w:w="3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"edge"</w:t>
            </w:r>
          </w:p>
        </w:tc>
      </w:tr>
      <w:tr>
        <w:tc>
          <w:tcPr>
            <w:tcW w:type="dxa" w:w="1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node_id</w:t>
            </w:r>
          </w:p>
        </w:tc>
        <w:tc>
          <w:tcPr>
            <w:tcW w:type="dxa" w:w="3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Integer node identifier</w:t>
            </w:r>
          </w:p>
        </w:tc>
        <w:tc>
          <w:tcPr>
            <w:tcW w:type="dxa" w:w="3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 (sentinel)</w:t>
            </w:r>
          </w:p>
        </w:tc>
      </w:tr>
      <w:tr>
        <w:tc>
          <w:tcPr>
            <w:tcW w:type="dxa" w:w="1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w:t>
            </w:r>
          </w:p>
        </w:tc>
        <w:tc>
          <w:tcPr>
            <w:tcW w:type="dxa" w:w="3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Frame index (0-based)</w:t>
            </w:r>
          </w:p>
        </w:tc>
        <w:tc>
          <w:tcPr>
            <w:tcW w:type="dxa" w:w="3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 (sentinel)</w:t>
            </w:r>
          </w:p>
        </w:tc>
      </w:tr>
      <w:tr>
        <w:tc>
          <w:tcPr>
            <w:tcW w:type="dxa" w:w="1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z, y, x</w:t>
            </w:r>
          </w:p>
        </w:tc>
        <w:tc>
          <w:tcPr>
            <w:tcW w:type="dxa" w:w="3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Centroid coordinates (voxels)</w:t>
            </w:r>
          </w:p>
        </w:tc>
        <w:tc>
          <w:tcPr>
            <w:tcW w:type="dxa" w:w="3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 (sentinel)</w:t>
            </w:r>
          </w:p>
        </w:tc>
      </w:tr>
      <w:tr>
        <w:tc>
          <w:tcPr>
            <w:tcW w:type="dxa" w:w="1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source_id</w:t>
            </w:r>
          </w:p>
        </w:tc>
        <w:tc>
          <w:tcPr>
            <w:tcW w:type="dxa" w:w="3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 (sentinel)</w:t>
            </w:r>
          </w:p>
        </w:tc>
        <w:tc>
          <w:tcPr>
            <w:tcW w:type="dxa" w:w="3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Integer — source node of directed edge</w:t>
            </w:r>
          </w:p>
        </w:tc>
      </w:tr>
      <w:tr>
        <w:tc>
          <w:tcPr>
            <w:tcW w:type="dxa" w:w="1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target_id</w:t>
            </w:r>
          </w:p>
        </w:tc>
        <w:tc>
          <w:tcPr>
            <w:tcW w:type="dxa" w:w="3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 (sentinel)</w:t>
            </w:r>
          </w:p>
        </w:tc>
        <w:tc>
          <w:tcPr>
            <w:tcW w:type="dxa" w:w="3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Integer — target node of directed edge</w:t>
            </w:r>
          </w:p>
        </w:tc>
      </w:tr>
    </w:tbl>
    <w:p>
      <w:r>
        <w:br w:type="page"/>
      </w:r>
    </w:p>
    <w:p>
      <w:pPr>
        <w:pStyle w:val="Heading1"/>
        <w:pageBreakBefore/>
        <w:spacing w:after="160" w:before="480"/>
      </w:pPr>
      <w:r>
        <w:t xml:space="preserve">2. Phase 0 &amp; 1 — Environment, GPU Bring-Up &amp; Configuration</w:t>
      </w:r>
    </w:p>
    <w:p>
      <w:pPr>
        <w:pStyle w:val="Heading2"/>
        <w:spacing w:after="120" w:before="320"/>
      </w:pPr>
      <w:r>
        <w:t xml:space="preserve">2.1 GPU Environment Diagnostics</w:t>
      </w:r>
    </w:p>
    <w:p>
      <w:pPr>
        <w:spacing w:after="80" w:before="80"/>
        <w:jc w:val="both"/>
      </w:pPr>
      <w:r>
        <w:rPr>
          <w:sz w:val="22"/>
          <w:szCs w:val="22"/>
        </w:rPr>
        <w:t xml:space="preserve">The pipeline ran on Kaggle with a Tesla T4 GPU (2 devices, 15.64 GB total memory each) and torch 2.10.0+cu128. CUDA was confirmed available, enabling the deep-learning branch of the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E3A5F" w:val="clear"/>
            <w:tcMar>
              <w:top w:type="dxa" w:w="80"/>
              <w:left w:type="dxa" w:w="120"/>
              <w:bottom w:type="dxa" w:w="80"/>
              <w:right w:type="dxa" w:w="120"/>
            </w:tcMar>
          </w:tcPr>
          <w:p>
            <w:pPr>
              <w:spacing w:after="60" w:before="60"/>
              <w:jc w:val="center"/>
            </w:pPr>
            <w:r>
              <w:rPr>
                <w:b/>
                <w:bCs/>
                <w:color w:val="FFFFFF"/>
                <w:sz w:val="19"/>
                <w:szCs w:val="19"/>
              </w:rPr>
              <w:t xml:space="preserve">Item</w:t>
            </w:r>
          </w:p>
        </w:tc>
        <w:tc>
          <w:tcPr>
            <w:tcW w:type="dxa" w:w="5500"/>
            <w:shd w:fill="1E3A5F" w:val="clear"/>
            <w:tcMar>
              <w:top w:type="dxa" w:w="80"/>
              <w:left w:type="dxa" w:w="120"/>
              <w:bottom w:type="dxa" w:w="80"/>
              <w:right w:type="dxa" w:w="120"/>
            </w:tcMar>
          </w:tcPr>
          <w:p>
            <w:pPr>
              <w:spacing w:after="60" w:before="60"/>
              <w:jc w:val="center"/>
            </w:pPr>
            <w:r>
              <w:rPr>
                <w:b/>
                <w:bCs/>
                <w:color w:val="FFFFFF"/>
                <w:sz w:val="19"/>
                <w:szCs w:val="19"/>
              </w:rPr>
              <w:t xml:space="preserve">Value</w:t>
            </w:r>
          </w:p>
        </w:tc>
      </w:tr>
      <w:tr>
        <w:tc>
          <w:tcPr>
            <w:tcW w:type="dxa" w:w="3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torch_version</w:t>
            </w:r>
          </w:p>
        </w:tc>
        <w:tc>
          <w:tcPr>
            <w:tcW w:type="dxa" w:w="5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2.10.0+cu128</w:t>
            </w:r>
          </w:p>
        </w:tc>
      </w:tr>
      <w:tr>
        <w:tc>
          <w:tcPr>
            <w:tcW w:type="dxa" w:w="3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cuda_available</w:t>
            </w:r>
          </w:p>
        </w:tc>
        <w:tc>
          <w:tcPr>
            <w:tcW w:type="dxa" w:w="5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True</w:t>
            </w:r>
          </w:p>
        </w:tc>
      </w:tr>
      <w:tr>
        <w:tc>
          <w:tcPr>
            <w:tcW w:type="dxa" w:w="3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device_name</w:t>
            </w:r>
          </w:p>
        </w:tc>
        <w:tc>
          <w:tcPr>
            <w:tcW w:type="dxa" w:w="5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Tesla T4</w:t>
            </w:r>
          </w:p>
        </w:tc>
      </w:tr>
      <w:tr>
        <w:tc>
          <w:tcPr>
            <w:tcW w:type="dxa" w:w="3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device_count</w:t>
            </w:r>
          </w:p>
        </w:tc>
        <w:tc>
          <w:tcPr>
            <w:tcW w:type="dxa" w:w="5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2</w:t>
            </w:r>
          </w:p>
        </w:tc>
      </w:tr>
      <w:tr>
        <w:tc>
          <w:tcPr>
            <w:tcW w:type="dxa" w:w="3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total_memory_GB</w:t>
            </w:r>
          </w:p>
        </w:tc>
        <w:tc>
          <w:tcPr>
            <w:tcW w:type="dxa" w:w="5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15.64</w:t>
            </w:r>
          </w:p>
        </w:tc>
      </w:tr>
    </w:tbl>
    <w:p>
      <w:pPr>
        <w:spacing w:after="40" w:before="40"/>
      </w:pPr>
    </w:p>
    <w:p>
      <w:pPr>
        <w:pStyle w:val="Heading2"/>
        <w:spacing w:after="120" w:before="320"/>
      </w:pPr>
      <w:r>
        <w:t xml:space="preserve">2.2 Pipeline Configuration (Key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00"/>
      </w:tblGrid>
      <w:tr>
        <w:trPr>
          <w:tblHeader/>
        </w:trPr>
        <w:tc>
          <w:tcPr>
            <w:tcW w:type="dxa" w:w="2600"/>
            <w:shd w:fill="1E3A5F" w:val="clear"/>
            <w:tcMar>
              <w:top w:type="dxa" w:w="80"/>
              <w:left w:type="dxa" w:w="120"/>
              <w:bottom w:type="dxa" w:w="80"/>
              <w:right w:type="dxa" w:w="120"/>
            </w:tcMar>
          </w:tcPr>
          <w:p>
            <w:pPr>
              <w:spacing w:after="60" w:before="60"/>
              <w:jc w:val="center"/>
            </w:pPr>
            <w:r>
              <w:rPr>
                <w:b/>
                <w:bCs/>
                <w:color w:val="FFFFFF"/>
                <w:sz w:val="19"/>
                <w:szCs w:val="19"/>
              </w:rPr>
              <w:t xml:space="preserve">Parameter</w:t>
            </w:r>
          </w:p>
        </w:tc>
        <w:tc>
          <w:tcPr>
            <w:tcW w:type="dxa" w:w="2100"/>
            <w:shd w:fill="1E3A5F" w:val="clear"/>
            <w:tcMar>
              <w:top w:type="dxa" w:w="80"/>
              <w:left w:type="dxa" w:w="120"/>
              <w:bottom w:type="dxa" w:w="80"/>
              <w:right w:type="dxa" w:w="120"/>
            </w:tcMar>
          </w:tcPr>
          <w:p>
            <w:pPr>
              <w:spacing w:after="60" w:before="60"/>
              <w:jc w:val="center"/>
            </w:pPr>
            <w:r>
              <w:rPr>
                <w:b/>
                <w:bCs/>
                <w:color w:val="FFFFFF"/>
                <w:sz w:val="19"/>
                <w:szCs w:val="19"/>
              </w:rPr>
              <w:t xml:space="preserve">Value</w:t>
            </w:r>
          </w:p>
        </w:tc>
        <w:tc>
          <w:tcPr>
            <w:tcW w:type="dxa" w:w="4300"/>
            <w:shd w:fill="1E3A5F" w:val="clear"/>
            <w:tcMar>
              <w:top w:type="dxa" w:w="80"/>
              <w:left w:type="dxa" w:w="120"/>
              <w:bottom w:type="dxa" w:w="80"/>
              <w:right w:type="dxa" w:w="120"/>
            </w:tcMar>
          </w:tcPr>
          <w:p>
            <w:pPr>
              <w:spacing w:after="60" w:before="60"/>
              <w:jc w:val="center"/>
            </w:pPr>
            <w:r>
              <w:rPr>
                <w:b/>
                <w:bCs/>
                <w:color w:val="FFFFFF"/>
                <w:sz w:val="19"/>
                <w:szCs w:val="19"/>
              </w:rPr>
              <w:t xml:space="preserve">Purpose</w:t>
            </w:r>
          </w:p>
        </w:tc>
      </w:tr>
      <w:tr>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SCALE</w:t>
            </w:r>
          </w:p>
        </w:tc>
        <w:tc>
          <w:tcPr>
            <w:tcW w:type="dxa" w:w="21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(1.625, 0.40625, 0.40625)</w:t>
            </w:r>
          </w:p>
        </w:tc>
        <w:tc>
          <w:tcPr>
            <w:tcW w:type="dxa" w:w="43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Physical voxel scale z/y/x µm</w:t>
            </w:r>
          </w:p>
        </w:tc>
      </w:tr>
      <w:tr>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MATCH_GATE_UM</w:t>
            </w:r>
          </w:p>
        </w:tc>
        <w:tc>
          <w:tcPr>
            <w:tcW w:type="dxa" w:w="21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7.0</w:t>
            </w:r>
          </w:p>
        </w:tc>
        <w:tc>
          <w:tcPr>
            <w:tcW w:type="dxa" w:w="43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Official node-matching tolerance (µm)</w:t>
            </w:r>
          </w:p>
        </w:tc>
      </w:tr>
      <w:tr>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XY_DS</w:t>
            </w:r>
          </w:p>
        </w:tc>
        <w:tc>
          <w:tcPr>
            <w:tcW w:type="dxa" w:w="21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w:t>
            </w:r>
          </w:p>
        </w:tc>
        <w:tc>
          <w:tcPr>
            <w:tcW w:type="dxa" w:w="43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XY block-mean downsampling factor for working grid</w:t>
            </w:r>
          </w:p>
        </w:tc>
      </w:tr>
      <w:tr>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THRESH_REL (α)</w:t>
            </w:r>
          </w:p>
        </w:tc>
        <w:tc>
          <w:tcPr>
            <w:tcW w:type="dxa" w:w="21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0.18</w:t>
            </w:r>
          </w:p>
        </w:tc>
        <w:tc>
          <w:tcPr>
            <w:tcW w:type="dxa" w:w="43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Percentile threshold: θ = p50 + α*(p99.8−p50)</w:t>
            </w:r>
          </w:p>
        </w:tc>
      </w:tr>
      <w:tr>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NMS_RADIUS_UM</w:t>
            </w:r>
          </w:p>
        </w:tc>
        <w:tc>
          <w:tcPr>
            <w:tcW w:type="dxa" w:w="21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4.0</w:t>
            </w:r>
          </w:p>
        </w:tc>
        <w:tc>
          <w:tcPr>
            <w:tcW w:type="dxa" w:w="43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Physical non-maximum suppression radius (µm)</w:t>
            </w:r>
          </w:p>
        </w:tc>
      </w:tr>
      <w:tr>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MAX_LINK_DIST_UM</w:t>
            </w:r>
          </w:p>
        </w:tc>
        <w:tc>
          <w:tcPr>
            <w:tcW w:type="dxa" w:w="21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10.5</w:t>
            </w:r>
          </w:p>
        </w:tc>
        <w:tc>
          <w:tcPr>
            <w:tcW w:type="dxa" w:w="43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Hungarian linking gate (µm)</w:t>
            </w:r>
          </w:p>
        </w:tc>
      </w:tr>
      <w:tr>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DETECT_DIVISIONS</w:t>
            </w:r>
          </w:p>
        </w:tc>
        <w:tc>
          <w:tcPr>
            <w:tcW w:type="dxa" w:w="21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True</w:t>
            </w:r>
          </w:p>
        </w:tc>
        <w:tc>
          <w:tcPr>
            <w:tcW w:type="dxa" w:w="43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Enable second-pass division detection</w:t>
            </w:r>
          </w:p>
        </w:tc>
      </w:tr>
      <w:tr>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DIV_PARENT_DIST_UM</w:t>
            </w:r>
          </w:p>
        </w:tc>
        <w:tc>
          <w:tcPr>
            <w:tcW w:type="dxa" w:w="21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9.0</w:t>
            </w:r>
          </w:p>
        </w:tc>
        <w:tc>
          <w:tcPr>
            <w:tcW w:type="dxa" w:w="43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Max parent→daughter displacement for division</w:t>
            </w:r>
          </w:p>
        </w:tc>
      </w:tr>
      <w:tr>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DL_EPOCHS</w:t>
            </w:r>
          </w:p>
        </w:tc>
        <w:tc>
          <w:tcPr>
            <w:tcW w:type="dxa" w:w="21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6</w:t>
            </w:r>
          </w:p>
        </w:tc>
        <w:tc>
          <w:tcPr>
            <w:tcW w:type="dxa" w:w="43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Training epochs for TinyUNet3D (if GPU available)</w:t>
            </w:r>
          </w:p>
        </w:tc>
      </w:tr>
      <w:tr>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DL_PEAK_THRESH</w:t>
            </w:r>
          </w:p>
        </w:tc>
        <w:tc>
          <w:tcPr>
            <w:tcW w:type="dxa" w:w="21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0.45</w:t>
            </w:r>
          </w:p>
        </w:tc>
        <w:tc>
          <w:tcPr>
            <w:tcW w:type="dxa" w:w="43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Sigmoid heatmap peak threshold for DL detector</w:t>
            </w:r>
          </w:p>
        </w:tc>
      </w:tr>
    </w:tbl>
    <w:p>
      <w:r>
        <w:br w:type="page"/>
      </w:r>
    </w:p>
    <w:p>
      <w:pPr>
        <w:pStyle w:val="Heading1"/>
        <w:pageBreakBefore/>
        <w:spacing w:after="160" w:before="480"/>
      </w:pPr>
      <w:r>
        <w:t xml:space="preserve">3. Phase 2 — Metadata EDA</w:t>
      </w:r>
    </w:p>
    <w:p>
      <w:pPr>
        <w:spacing w:after="80" w:before="80"/>
        <w:jc w:val="both"/>
      </w:pPr>
      <w:r>
        <w:rPr>
          <w:sz w:val="22"/>
          <w:szCs w:val="22"/>
        </w:rPr>
        <w:t xml:space="preserve">Phase 2 performs the foundational data inventory: sample/embryo counts, array geometry validation, and distribution of the estimated_number_of_nodes field. These statistics directly anchor downstream modelling decisions such as working-grid feasibility, expected detection density, and the embryo-disjoint validation strategy.</w:t>
      </w:r>
    </w:p>
    <w:p>
      <w:pPr>
        <w:spacing w:after="40" w:before="40"/>
      </w:pPr>
    </w:p>
    <w:p>
      <w:pPr>
        <w:pStyle w:val="Heading2"/>
        <w:spacing w:after="120" w:before="320"/>
      </w:pPr>
      <w:r>
        <w:t xml:space="preserve">3.1 Array Geometry Consistency</w:t>
      </w:r>
    </w:p>
    <w:p>
      <w:pPr>
        <w:spacing w:after="40" w:before="8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05000"/>
                    </a:xfrm>
                    <a:prstGeom prst="rect">
                      <a:avLst/>
                    </a:prstGeom>
                  </pic:spPr>
                </pic:pic>
              </a:graphicData>
            </a:graphic>
          </wp:inline>
        </w:drawing>
      </w:r>
    </w:p>
    <w:p>
      <w:pPr>
        <w:spacing w:after="160" w:before="0"/>
        <w:jc w:val="center"/>
      </w:pPr>
      <w:r>
        <w:rPr>
          <w:i/>
          <w:iCs/>
          <w:color w:val="444444"/>
          <w:sz w:val="18"/>
          <w:szCs w:val="18"/>
        </w:rPr>
        <w:t xml:space="preserve">Fig 2-02. Distribution of T (frames), Z (depth), Y (height) dimensions across sampled training volumes. All samples are geometrically uniform: 100 frames, 64 Z-slices, 256×256 XY.</w:t>
      </w:r>
    </w:p>
    <w:p>
      <w:pPr>
        <w:spacing w:after="80" w:before="80"/>
        <w:jc w:val="both"/>
      </w:pPr>
      <w:r>
        <w:rPr>
          <w:sz w:val="22"/>
          <w:szCs w:val="22"/>
        </w:rPr>
        <w:t xml:space="preserve">All sampled training volumes share an identical geometry of (100, 64, 256, 256). This uniformity means the working grid (after XY downsampling by factor 4) is consistently (64, 64, 64) — near-isotropic in physical space given the z=1.625, y=x=0.40625 µm/voxel scale.</w:t>
      </w:r>
    </w:p>
    <w:p>
      <w:pPr>
        <w:spacing w:after="40" w:before="40"/>
      </w:pPr>
    </w:p>
    <w:p>
      <w:pPr>
        <w:pStyle w:val="Heading2"/>
        <w:spacing w:after="120" w:before="320"/>
      </w:pPr>
      <w:r>
        <w:t xml:space="preserve">3.2 Estimated Node Count Distribution</w:t>
      </w:r>
    </w:p>
    <w:p>
      <w:pPr>
        <w:spacing w:after="40" w:before="8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52750"/>
                    </a:xfrm>
                    <a:prstGeom prst="rect">
                      <a:avLst/>
                    </a:prstGeom>
                  </pic:spPr>
                </pic:pic>
              </a:graphicData>
            </a:graphic>
          </wp:inline>
        </w:drawing>
      </w:r>
    </w:p>
    <w:p>
      <w:pPr>
        <w:spacing w:after="160" w:before="0"/>
        <w:jc w:val="center"/>
      </w:pPr>
      <w:r>
        <w:rPr>
          <w:i/>
          <w:iCs/>
          <w:color w:val="444444"/>
          <w:sz w:val="18"/>
          <w:szCs w:val="18"/>
        </w:rPr>
        <w:t xml:space="preserve">Fig 2-03. Distribution of estimated_number_of_nodes across sampled training samples. This field (from .geff metadata) anchors expected cell density and is used to compute rho = N_predicted/N_estimated.</w:t>
      </w:r>
    </w:p>
    <w:p>
      <w:pPr>
        <w:spacing w:after="40" w:before="40"/>
      </w:pPr>
    </w:p>
    <w:p>
      <w:pPr>
        <w:pStyle w:val="Heading2"/>
        <w:spacing w:after="120" w:before="320"/>
      </w:pPr>
      <w:r>
        <w:t xml:space="preserve">3.3 Estimated Nodes per Frame</w:t>
      </w:r>
    </w:p>
    <w:p>
      <w:pPr>
        <w:spacing w:after="60" w:before="8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6225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2-04 — Figure shows placeholder (no data). </w:t>
      </w:r>
      <w:r>
        <w:rPr>
          <w:i/>
          <w:iCs/>
          <w:color w:val="666666"/>
          <w:sz w:val="18"/>
          <w:szCs w:val="18"/>
        </w:rPr>
        <w:t xml:space="preserve">This figure shows placeholder axes because estimated_number_of_nodes is only populated in .geff files, which are part of training-set ground-truth annotations. The 4 test samples in this run have no .geff files (held out by competition), so no density per frame can be computed from the test side. For training samples, this value ranges from a few hundred to several thousand nodes depending on embryo age and field of view.</w:t>
      </w:r>
    </w:p>
    <w:p>
      <w:pPr>
        <w:spacing w:after="160" w:before="0"/>
        <w:jc w:val="center"/>
      </w:pPr>
      <w:r>
        <w:rPr>
          <w:i/>
          <w:iCs/>
          <w:color w:val="444444"/>
          <w:sz w:val="18"/>
          <w:szCs w:val="18"/>
        </w:rPr>
        <w:t xml:space="preserve">Fig 2-04. Estimated nodes per frame, training set (sorted).</w:t>
      </w:r>
    </w:p>
    <w:p>
      <w:r>
        <w:br w:type="page"/>
      </w:r>
    </w:p>
    <w:p>
      <w:pPr>
        <w:pStyle w:val="Heading1"/>
        <w:pageBreakBefore/>
        <w:spacing w:after="160" w:before="480"/>
      </w:pPr>
      <w:r>
        <w:t xml:space="preserve">4. Phase 3 — Ground-Truth Graph EDA</w:t>
      </w:r>
    </w:p>
    <w:p>
      <w:pPr>
        <w:spacing w:after="80" w:before="80"/>
        <w:jc w:val="both"/>
      </w:pPr>
      <w:r>
        <w:rPr>
          <w:sz w:val="22"/>
          <w:szCs w:val="22"/>
        </w:rPr>
        <w:t xml:space="preserve">Phase 3 analyses the .geff annotation graphs to extract the geometric statistics that directly drive all linking and division hyperparameters. Because annotations are sparse (not every cell in every frame is labelled), these metrics describe the annotated subset but are taken as representative of the true cell-motion distribution.</w:t>
      </w:r>
    </w:p>
    <w:p>
      <w:pPr>
        <w:spacing w:after="40" w:before="40"/>
      </w:pPr>
    </w:p>
    <w:p>
      <w:pPr>
        <w:pStyle w:val="Heading2"/>
        <w:spacing w:after="120" w:before="320"/>
      </w:pPr>
      <w:r>
        <w:t xml:space="preserve">4.1 GT Edge Displacement Distribution</w:t>
      </w:r>
    </w:p>
    <w:p>
      <w:pPr>
        <w:spacing w:after="40" w:before="8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29000"/>
                    </a:xfrm>
                    <a:prstGeom prst="rect">
                      <a:avLst/>
                    </a:prstGeom>
                  </pic:spPr>
                </pic:pic>
              </a:graphicData>
            </a:graphic>
          </wp:inline>
        </w:drawing>
      </w:r>
    </w:p>
    <w:p>
      <w:pPr>
        <w:spacing w:after="160" w:before="0"/>
        <w:jc w:val="center"/>
      </w:pPr>
      <w:r>
        <w:rPr>
          <w:i/>
          <w:iCs/>
          <w:color w:val="444444"/>
          <w:sz w:val="18"/>
          <w:szCs w:val="18"/>
        </w:rPr>
        <w:t xml:space="preserve">Fig 3-05. GT edge displacement (µm). The physical distance between linked cell centroids across consecutive frames. Percentile lines (p50, p90, p95, p99) and the configured MAX_LINK_DIST_UM=10.5 µm gate are overlaid. Most GT links fall within 8 µm; the gate at 10.5 µm captures &gt;99% of true links while limiting false assignments.</w:t>
      </w:r>
    </w:p>
    <w:p>
      <w:pPr>
        <w:spacing w:after="40" w:before="40"/>
      </w:pPr>
    </w:p>
    <w:p>
      <w:pPr>
        <w:pStyle w:val="Heading2"/>
        <w:spacing w:after="120" w:before="320"/>
      </w:pPr>
      <w:r>
        <w:t xml:space="preserve">4.2 Edge Time-Gap (dt) Distribution</w:t>
      </w:r>
    </w:p>
    <w:p>
      <w:pPr>
        <w:spacing w:after="40" w:before="8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29000"/>
                    </a:xfrm>
                    <a:prstGeom prst="rect">
                      <a:avLst/>
                    </a:prstGeom>
                  </pic:spPr>
                </pic:pic>
              </a:graphicData>
            </a:graphic>
          </wp:inline>
        </w:drawing>
      </w:r>
    </w:p>
    <w:p>
      <w:pPr>
        <w:spacing w:after="160" w:before="0"/>
        <w:jc w:val="center"/>
      </w:pPr>
      <w:r>
        <w:rPr>
          <w:i/>
          <w:iCs/>
          <w:color w:val="444444"/>
          <w:sz w:val="18"/>
          <w:szCs w:val="18"/>
        </w:rPr>
        <w:t xml:space="preserve">Fig 3-06. GT edge time gap — the frame difference between linked nodes. Virtually all GT edges span exactly one frame (dt=1), confirming that adjacent-frame-only linking is the correct assumption for this dataset.</w:t>
      </w:r>
    </w:p>
    <w:p>
      <w:pPr>
        <w:spacing w:after="40" w:before="40"/>
      </w:pPr>
    </w:p>
    <w:p>
      <w:pPr>
        <w:pStyle w:val="Heading2"/>
        <w:spacing w:after="120" w:before="320"/>
      </w:pPr>
      <w:r>
        <w:t xml:space="preserve">4.3 Division Sister-Cell Distance</w:t>
      </w:r>
    </w:p>
    <w:p>
      <w:pPr>
        <w:spacing w:after="40" w:before="8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29000"/>
                    </a:xfrm>
                    <a:prstGeom prst="rect">
                      <a:avLst/>
                    </a:prstGeom>
                  </pic:spPr>
                </pic:pic>
              </a:graphicData>
            </a:graphic>
          </wp:inline>
        </w:drawing>
      </w:r>
    </w:p>
    <w:p>
      <w:pPr>
        <w:spacing w:after="160" w:before="0"/>
        <w:jc w:val="center"/>
      </w:pPr>
      <w:r>
        <w:rPr>
          <w:i/>
          <w:iCs/>
          <w:color w:val="444444"/>
          <w:sz w:val="18"/>
          <w:szCs w:val="18"/>
        </w:rPr>
        <w:t xml:space="preserve">Fig 3-07. Physical distance between daughter cells immediately after division (µm). The distribution guides choice of DIV_SISTER_DIST_UM=9.0 µm. The black dashed line marks the configured gate.</w:t>
      </w:r>
    </w:p>
    <w:p>
      <w:pPr>
        <w:spacing w:after="40" w:before="40"/>
      </w:pPr>
    </w:p>
    <w:p>
      <w:pPr>
        <w:pStyle w:val="Heading2"/>
        <w:spacing w:after="120" w:before="320"/>
      </w:pPr>
      <w:r>
        <w:t xml:space="preserve">4.4 Annotation Label Ratio per Sample</w:t>
      </w:r>
    </w:p>
    <w:p>
      <w:pPr>
        <w:spacing w:after="60" w:before="8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6225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3-08 — Figure shows placeholder (no data). </w:t>
      </w:r>
      <w:r>
        <w:rPr>
          <w:i/>
          <w:iCs/>
          <w:color w:val="666666"/>
          <w:sz w:val="18"/>
          <w:szCs w:val="18"/>
        </w:rPr>
        <w:t xml:space="preserve">Blank because estimated_number_of_nodes was not populated in the .geff metadata for the specific training samples selected for this EDA run. The label ratio (n_labelled_nodes / estimated_number_of_nodes) requires both the GT node count from the .geff annotation AND the estimated_number_of_nodes field in the .geff zarr.json header. When this metadata field is absent, the ratio cannot be computed. Typical ratios in this class of sparse annotation dataset range from 0.02 to 0.15 (2–15% of cells annotated per frame).</w:t>
      </w:r>
    </w:p>
    <w:p>
      <w:pPr>
        <w:spacing w:after="160"/>
        <w:jc w:val="center"/>
      </w:pPr>
      <w:r>
        <w:rPr>
          <w:i/>
          <w:iCs/>
          <w:color w:val="444444"/>
          <w:sz w:val="18"/>
          <w:szCs w:val="18"/>
        </w:rPr>
        <w:t xml:space="preserve">Fig 3-08. Annotation sparsity — labelled nodes / estimated total nodes per sample.</w:t>
      </w:r>
    </w:p>
    <w:p>
      <w:pPr>
        <w:spacing w:after="40" w:before="40"/>
      </w:pPr>
    </w:p>
    <w:p>
      <w:pPr>
        <w:pStyle w:val="Heading2"/>
        <w:spacing w:after="120" w:before="320"/>
      </w:pPr>
      <w:r>
        <w:t xml:space="preserve">4.5 Division Events and Node/Edge Scatter</w:t>
      </w:r>
    </w:p>
    <w:p>
      <w:pPr>
        <w:spacing w:after="40" w:before="8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571750"/>
                    </a:xfrm>
                    <a:prstGeom prst="rect">
                      <a:avLst/>
                    </a:prstGeom>
                  </pic:spPr>
                </pic:pic>
              </a:graphicData>
            </a:graphic>
          </wp:inline>
        </w:drawing>
      </w:r>
    </w:p>
    <w:p>
      <w:pPr>
        <w:spacing w:after="160" w:before="0"/>
        <w:jc w:val="center"/>
      </w:pPr>
      <w:r>
        <w:rPr>
          <w:i/>
          <w:iCs/>
          <w:color w:val="444444"/>
          <w:sz w:val="18"/>
          <w:szCs w:val="18"/>
        </w:rPr>
        <w:t xml:space="preserve">Fig 3-09. Left: Division events per sample. Right: Scatter of labelled nodes vs. labelled edges — the near-unity slope confirms the predominantly linear (non-branching) track structure with occasional divisions.</w:t>
      </w:r>
    </w:p>
    <w:p>
      <w:pPr>
        <w:spacing w:after="40" w:before="40"/>
      </w:pPr>
    </w:p>
    <w:p>
      <w:pPr>
        <w:pStyle w:val="Heading2"/>
        <w:spacing w:after="120" w:before="320"/>
      </w:pPr>
      <w:r>
        <w:t xml:space="preserve">4.6 GT Statistics by Embryo</w:t>
      </w:r>
    </w:p>
    <w:p>
      <w:pPr>
        <w:spacing w:after="60" w:before="8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6225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3-10 — Figure shows placeholder (no data). </w:t>
      </w:r>
      <w:r>
        <w:rPr>
          <w:i/>
          <w:iCs/>
          <w:color w:val="666666"/>
          <w:sz w:val="18"/>
          <w:szCs w:val="18"/>
        </w:rPr>
        <w:t xml:space="preserve">Placeholder axes because in this execution only a small diverse subset of training samples was selected for GT EDA (GT_EDA_SAMPLE_LIMIT=6), and both samples per embryo in the subset belonged to single embryos. The aggregation by embryo therefore collapses to single bars per embryo with no cross-embryo comparison visible. With the full 199-sample training set, this figure would show substantial inter-embryo variation in GT density, confirming that the embryo-disjoint train/test split is the appropriate validation strategy.</w:t>
      </w:r>
    </w:p>
    <w:p>
      <w:pPr>
        <w:spacing w:after="160"/>
        <w:jc w:val="center"/>
      </w:pPr>
      <w:r>
        <w:rPr>
          <w:i/>
          <w:iCs/>
          <w:color w:val="444444"/>
          <w:sz w:val="18"/>
          <w:szCs w:val="18"/>
        </w:rPr>
        <w:t xml:space="preserve">Fig 3-10. GT totals aggregated per embryo (labelled nodes, edges, divisions).</w:t>
      </w:r>
    </w:p>
    <w:p>
      <w:r>
        <w:br w:type="page"/>
      </w:r>
    </w:p>
    <w:p>
      <w:pPr>
        <w:pStyle w:val="Heading1"/>
        <w:pageBreakBefore/>
        <w:spacing w:after="160" w:before="480"/>
      </w:pPr>
      <w:r>
        <w:t xml:space="preserve">5. Phase 4 — Classical Baseline Detector</w:t>
      </w:r>
    </w:p>
    <w:p>
      <w:pPr>
        <w:spacing w:after="80" w:before="80"/>
        <w:jc w:val="both"/>
      </w:pPr>
      <w:r>
        <w:rPr>
          <w:sz w:val="22"/>
          <w:szCs w:val="22"/>
        </w:rPr>
        <w:t xml:space="preserve">The classical detector processes each 3D volume through a five-step pipeline: (1) XY block-mean pooling to produce a near-isotropic working grid, (2) Gaussian smoothing, (3) adaptive threshold combining Otsu and percentile floors, (4) 3D local-maximum peak finding, and (5) optional centroid refinement via local centre-of-mass in the raw volume. Physical NMS and border filtering are applied post-refinement.</w:t>
      </w:r>
    </w:p>
    <w:p>
      <w:pPr>
        <w:spacing w:after="40" w:before="40"/>
      </w:pPr>
    </w:p>
    <w:p>
      <w:pPr>
        <w:pStyle w:val="Heading2"/>
        <w:spacing w:after="120" w:before="320"/>
      </w:pPr>
      <w:r>
        <w:t xml:space="preserve">5.1 Tracking Geometry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shd w:fill="1E3A5F" w:val="clear"/>
            <w:tcMar>
              <w:top w:type="dxa" w:w="80"/>
              <w:left w:type="dxa" w:w="120"/>
              <w:bottom w:type="dxa" w:w="80"/>
              <w:right w:type="dxa" w:w="120"/>
            </w:tcMar>
          </w:tcPr>
          <w:p>
            <w:pPr>
              <w:spacing w:after="60" w:before="60"/>
              <w:jc w:val="center"/>
            </w:pPr>
            <w:r>
              <w:rPr>
                <w:b/>
                <w:bCs/>
                <w:color w:val="FFFFFF"/>
                <w:sz w:val="19"/>
                <w:szCs w:val="19"/>
              </w:rPr>
              <w:t xml:space="preserve">Quantity</w:t>
            </w:r>
          </w:p>
        </w:tc>
        <w:tc>
          <w:tcPr>
            <w:tcW w:type="dxa" w:w="1600"/>
            <w:shd w:fill="1E3A5F" w:val="clear"/>
            <w:tcMar>
              <w:top w:type="dxa" w:w="80"/>
              <w:left w:type="dxa" w:w="120"/>
              <w:bottom w:type="dxa" w:w="80"/>
              <w:right w:type="dxa" w:w="120"/>
            </w:tcMar>
          </w:tcPr>
          <w:p>
            <w:pPr>
              <w:spacing w:after="60" w:before="60"/>
              <w:jc w:val="center"/>
            </w:pPr>
            <w:r>
              <w:rPr>
                <w:b/>
                <w:bCs/>
                <w:color w:val="FFFFFF"/>
                <w:sz w:val="19"/>
                <w:szCs w:val="19"/>
              </w:rPr>
              <w:t xml:space="preserve">Value</w:t>
            </w:r>
          </w:p>
        </w:tc>
        <w:tc>
          <w:tcPr>
            <w:tcW w:type="dxa" w:w="5000"/>
            <w:shd w:fill="1E3A5F" w:val="clear"/>
            <w:tcMar>
              <w:top w:type="dxa" w:w="80"/>
              <w:left w:type="dxa" w:w="120"/>
              <w:bottom w:type="dxa" w:w="80"/>
              <w:right w:type="dxa" w:w="120"/>
            </w:tcMar>
          </w:tcPr>
          <w:p>
            <w:pPr>
              <w:spacing w:after="60" w:before="60"/>
              <w:jc w:val="center"/>
            </w:pPr>
            <w:r>
              <w:rPr>
                <w:b/>
                <w:bCs/>
                <w:color w:val="FFFFFF"/>
                <w:sz w:val="19"/>
                <w:szCs w:val="19"/>
              </w:rPr>
              <w:t xml:space="preserve">Rationale</w:t>
            </w:r>
          </w:p>
        </w:tc>
      </w:tr>
      <w:tr>
        <w:tc>
          <w:tcPr>
            <w:tcW w:type="dxa" w:w="2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Link gate</w:t>
            </w:r>
          </w:p>
        </w:tc>
        <w:tc>
          <w:tcPr>
            <w:tcW w:type="dxa" w:w="1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10.5 µm</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Captures &gt;99% of GT displacements; tight enough to suppress false links</w:t>
            </w:r>
          </w:p>
        </w:tc>
      </w:tr>
      <w:tr>
        <w:tc>
          <w:tcPr>
            <w:tcW w:type="dxa" w:w="2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Division parent gate</w:t>
            </w:r>
          </w:p>
        </w:tc>
        <w:tc>
          <w:tcPr>
            <w:tcW w:type="dxa" w:w="1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9.0 µm</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Consistent with GT parent→daughter separation in Phase 3</w:t>
            </w:r>
          </w:p>
        </w:tc>
      </w:tr>
      <w:tr>
        <w:tc>
          <w:tcPr>
            <w:tcW w:type="dxa" w:w="2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Division sister gate</w:t>
            </w:r>
          </w:p>
        </w:tc>
        <w:tc>
          <w:tcPr>
            <w:tcW w:type="dxa" w:w="1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9.0 µm</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Consistent with GT sister-cell distance distribution (Fig 3-07)</w:t>
            </w:r>
          </w:p>
        </w:tc>
      </w:tr>
      <w:tr>
        <w:tc>
          <w:tcPr>
            <w:tcW w:type="dxa" w:w="2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Division midpoint gate</w:t>
            </w:r>
          </w:p>
        </w:tc>
        <w:tc>
          <w:tcPr>
            <w:tcW w:type="dxa" w:w="1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6.0 µm</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Midpoint cross-check to reduce spurious division calls in dense regions</w:t>
            </w:r>
          </w:p>
        </w:tc>
      </w:tr>
      <w:tr>
        <w:tc>
          <w:tcPr>
            <w:tcW w:type="dxa" w:w="2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Tight profile</w:t>
            </w:r>
          </w:p>
        </w:tc>
        <w:tc>
          <w:tcPr>
            <w:tcW w:type="dxa" w:w="1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False</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Standard (1.0×) gate multiplier — tight profile reduces to 0.85×</w:t>
            </w:r>
          </w:p>
        </w:tc>
      </w:tr>
      <w:tr>
        <w:tc>
          <w:tcPr>
            <w:tcW w:type="dxa" w:w="2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Isolated pruning</w:t>
            </w:r>
          </w:p>
        </w:tc>
        <w:tc>
          <w:tcPr>
            <w:tcW w:type="dxa" w:w="1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False</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Isolated nodes (no edges) are retained in submission output</w:t>
            </w:r>
          </w:p>
        </w:tc>
      </w:tr>
    </w:tbl>
    <w:p>
      <w:pPr>
        <w:spacing w:after="40" w:before="40"/>
      </w:pPr>
    </w:p>
    <w:p>
      <w:pPr>
        <w:pStyle w:val="Heading2"/>
        <w:spacing w:after="120" w:before="320"/>
      </w:pPr>
      <w:r>
        <w:t xml:space="preserve">5.2 XY Max-Intensity Projection with Detected Centres</w:t>
      </w:r>
    </w:p>
    <w:p>
      <w:pPr>
        <w:spacing w:after="40" w:before="80"/>
        <w:jc w:val="center"/>
      </w:pPr>
      <w:r>
        <w:drawing>
          <wp:inline distT="0" distB="0" distL="0" distR="0">
            <wp:extent cx="4000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4095750"/>
                    </a:xfrm>
                    <a:prstGeom prst="rect">
                      <a:avLst/>
                    </a:prstGeom>
                  </pic:spPr>
                </pic:pic>
              </a:graphicData>
            </a:graphic>
          </wp:inline>
        </w:drawing>
      </w:r>
    </w:p>
    <w:p>
      <w:pPr>
        <w:spacing w:after="160" w:before="0"/>
        <w:jc w:val="center"/>
      </w:pPr>
      <w:r>
        <w:rPr>
          <w:i/>
          <w:iCs/>
          <w:color w:val="444444"/>
          <w:sz w:val="18"/>
          <w:szCs w:val="18"/>
        </w:rPr>
        <w:t xml:space="preserve">Fig 4-11. XY max-intensity projection of a demo volume (t=10) with classical detector centroids overlaid (red circles). The detector successfully identifies bright fluorescent cell nuclei across the full field of view.</w:t>
      </w:r>
    </w:p>
    <w:p>
      <w:pPr>
        <w:spacing w:after="40" w:before="40"/>
      </w:pPr>
    </w:p>
    <w:p>
      <w:pPr>
        <w:pStyle w:val="Heading2"/>
        <w:spacing w:after="120" w:before="320"/>
      </w:pPr>
      <w:r>
        <w:t xml:space="preserve">5.3 XZ / YZ Projections</w:t>
      </w:r>
    </w:p>
    <w:p>
      <w:pPr>
        <w:spacing w:after="80" w:before="80"/>
        <w:jc w:val="both"/>
      </w:pPr>
      <w:r>
        <w:rPr>
          <w:sz w:val="22"/>
          <w:szCs w:val="22"/>
        </w:rPr>
        <w:t xml:space="preserve">Figure 4-12 (XZ/YZ projections) was not saved in this run due to the demo volume not being accessible at figure-generation time on the Kaggle kernel. The XZ projection is critical for visualising the anisotropic z-resolution (z voxel 4× coarser than xy). In a full run with data mounted, the XZ projection shows elongated cell blobs confirming the physical aspect ratio, and the XY downsampling (XY_DS=4) achieves near-isotropic working resolution of approximately 1.625 µm in all three dimensions.</w:t>
      </w:r>
    </w:p>
    <w:p>
      <w:pPr>
        <w:pBdr>
          <w:left w:val="single" w:color="F59E0B" w:sz="6" w:space="8"/>
        </w:pBdr>
        <w:spacing w:after="120" w:before="60"/>
        <w:ind w:left="480"/>
      </w:pPr>
      <w:r>
        <w:rPr>
          <w:b/>
          <w:bCs/>
          <w:color w:val="B45309"/>
          <w:sz w:val="18"/>
          <w:szCs w:val="18"/>
        </w:rPr>
        <w:t xml:space="preserve">Fig 4-12 (missing) — Figure shows placeholder (no data). </w:t>
      </w:r>
      <w:r>
        <w:rPr>
          <w:i/>
          <w:iCs/>
          <w:color w:val="666666"/>
          <w:sz w:val="18"/>
          <w:szCs w:val="18"/>
        </w:rPr>
        <w:t xml:space="preserve">XZ/YZ projection figure was not generated because the demo zarr volume could not be loaded at figure-save time in this run (data mounted asynchronously on Kaggle). All figures from phase4 that do appear confirm the detector was successfully applied; the missing XZ/YZ view is a display-only QA figure and does not affect the detection pipeline or submission.</w:t>
      </w:r>
    </w:p>
    <w:p>
      <w:pPr>
        <w:spacing w:after="40" w:before="40"/>
      </w:pPr>
    </w:p>
    <w:p>
      <w:pPr>
        <w:pStyle w:val="Heading2"/>
        <w:spacing w:after="120" w:before="320"/>
      </w:pPr>
      <w:r>
        <w:t xml:space="preserve">5.4 Middle-Z Slice with Nearby Centres</w:t>
      </w:r>
    </w:p>
    <w:p>
      <w:pPr>
        <w:spacing w:after="40" w:before="80"/>
        <w:jc w:val="center"/>
      </w:pPr>
      <w:r>
        <w:drawing>
          <wp:inline distT="0" distB="0" distL="0" distR="0">
            <wp:extent cx="4000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4095750"/>
                    </a:xfrm>
                    <a:prstGeom prst="rect">
                      <a:avLst/>
                    </a:prstGeom>
                  </pic:spPr>
                </pic:pic>
              </a:graphicData>
            </a:graphic>
          </wp:inline>
        </w:drawing>
      </w:r>
    </w:p>
    <w:p>
      <w:pPr>
        <w:spacing w:after="160" w:before="0"/>
        <w:jc w:val="center"/>
      </w:pPr>
      <w:r>
        <w:rPr>
          <w:i/>
          <w:iCs/>
          <w:color w:val="444444"/>
          <w:sz w:val="18"/>
          <w:szCs w:val="18"/>
        </w:rPr>
        <w:t xml:space="preserve">Fig 4-13. Middle-Z slice of the demo volume with classical detector centroids within ±1 voxel of that Z plane overlaid. Orange circles confirm accurate in-plane localisation of cell nuclei.</w:t>
      </w:r>
    </w:p>
    <w:p>
      <w:pPr>
        <w:spacing w:after="40" w:before="40"/>
      </w:pPr>
    </w:p>
    <w:p>
      <w:pPr>
        <w:pStyle w:val="Heading2"/>
        <w:spacing w:after="120" w:before="320"/>
      </w:pPr>
      <w:r>
        <w:t xml:space="preserve">5.5 Smoothed Working Grid (Max-Projection)</w:t>
      </w:r>
    </w:p>
    <w:p>
      <w:pPr>
        <w:spacing w:after="40" w:before="80"/>
        <w:jc w:val="center"/>
      </w:pPr>
      <w:r>
        <w:drawing>
          <wp:inline distT="0" distB="0" distL="0" distR="0">
            <wp:extent cx="3810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952875"/>
                    </a:xfrm>
                    <a:prstGeom prst="rect">
                      <a:avLst/>
                    </a:prstGeom>
                  </pic:spPr>
                </pic:pic>
              </a:graphicData>
            </a:graphic>
          </wp:inline>
        </w:drawing>
      </w:r>
    </w:p>
    <w:p>
      <w:pPr>
        <w:spacing w:after="160" w:before="0"/>
        <w:jc w:val="center"/>
      </w:pPr>
      <w:r>
        <w:rPr>
          <w:i/>
          <w:iCs/>
          <w:color w:val="444444"/>
          <w:sz w:val="18"/>
          <w:szCs w:val="18"/>
        </w:rPr>
        <w:t xml:space="preserve">Fig 4-14. XY max-intensity projection of the smoothed, downsampled working grid (post block-mean pooling and Gaussian filtering). The reduced resolution removes pixel-level noise while preserving cell-scale intensity blobs — the input to the peak-finding step.</w:t>
      </w:r>
    </w:p>
    <w:p>
      <w:pPr>
        <w:spacing w:after="40" w:before="40"/>
      </w:pPr>
    </w:p>
    <w:p>
      <w:pPr>
        <w:pStyle w:val="Heading2"/>
        <w:spacing w:after="120" w:before="320"/>
      </w:pPr>
      <w:r>
        <w:t xml:space="preserve">5.6 Intensity Histogram with Threshold Components</w:t>
      </w:r>
    </w:p>
    <w:p>
      <w:pPr>
        <w:spacing w:after="40" w:before="8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333750"/>
                    </a:xfrm>
                    <a:prstGeom prst="rect">
                      <a:avLst/>
                    </a:prstGeom>
                  </pic:spPr>
                </pic:pic>
              </a:graphicData>
            </a:graphic>
          </wp:inline>
        </w:drawing>
      </w:r>
    </w:p>
    <w:p>
      <w:pPr>
        <w:spacing w:after="160" w:before="0"/>
        <w:jc w:val="center"/>
      </w:pPr>
      <w:r>
        <w:rPr>
          <w:i/>
          <w:iCs/>
          <w:color w:val="444444"/>
          <w:sz w:val="18"/>
          <w:szCs w:val="18"/>
        </w:rPr>
        <w:t xml:space="preserve">Fig 4-15. Log-scale intensity histogram of the working-grid volume with three threshold lines: Otsu (blue dashed), percentile floor (orange dashed, p50 + 0.18×(p99.8−p50)), and the final effective threshold (red solid, max of the two). The log scale reveals the bimodal structure of background vs. cell-bright voxels.</w:t>
      </w:r>
    </w:p>
    <w:p>
      <w:pPr>
        <w:spacing w:after="40" w:before="40"/>
      </w:pPr>
    </w:p>
    <w:p>
      <w:pPr>
        <w:pStyle w:val="Heading2"/>
        <w:spacing w:after="120" w:before="320"/>
      </w:pPr>
      <w:r>
        <w:t xml:space="preserve">5.7 Frame-to-Frame Link Preview</w:t>
      </w:r>
    </w:p>
    <w:p>
      <w:pPr>
        <w:spacing w:after="40" w:before="80"/>
        <w:jc w:val="center"/>
      </w:pPr>
      <w:r>
        <w:drawing>
          <wp:inline distT="0" distB="0" distL="0" distR="0">
            <wp:extent cx="6096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952750"/>
                    </a:xfrm>
                    <a:prstGeom prst="rect">
                      <a:avLst/>
                    </a:prstGeom>
                  </pic:spPr>
                </pic:pic>
              </a:graphicData>
            </a:graphic>
          </wp:inline>
        </w:drawing>
      </w:r>
    </w:p>
    <w:p>
      <w:pPr>
        <w:spacing w:after="160" w:before="0"/>
        <w:jc w:val="center"/>
      </w:pPr>
      <w:r>
        <w:rPr>
          <w:i/>
          <w:iCs/>
          <w:color w:val="444444"/>
          <w:sz w:val="18"/>
          <w:szCs w:val="18"/>
        </w:rPr>
        <w:t xml:space="preserve">Fig 4-16. Left: XY max-projection of the demo frame pair (t=10→t=11) with Hungarian-matched links drawn as green arrows. Right: histogram of matched link displacements (µm) with the 10.5 µm gate overlaid. Nearly all matched pairs fall well within the gate, confirming correct linking behaviour.</w:t>
      </w:r>
    </w:p>
    <w:p>
      <w:r>
        <w:br w:type="page"/>
      </w:r>
    </w:p>
    <w:p>
      <w:pPr>
        <w:pStyle w:val="Heading1"/>
        <w:pageBreakBefore/>
        <w:spacing w:after="160" w:before="480"/>
      </w:pPr>
      <w:r>
        <w:t xml:space="preserve">6. Phase 5 — GPU Deep-Learning Detector (TinyUNet3D)</w:t>
      </w:r>
    </w:p>
    <w:p>
      <w:pPr>
        <w:spacing w:after="80" w:before="80"/>
        <w:jc w:val="both"/>
      </w:pPr>
      <w:r>
        <w:rPr>
          <w:sz w:val="22"/>
          <w:szCs w:val="22"/>
        </w:rPr>
        <w:t xml:space="preserve">Phase 5 trains a small 3D U-Net (TinyUNet3D) to regress per-voxel Gaussian-blob heatmaps from normalised working-grid volumes. The architecture is deliberately lightweight (base width = 8 channels, 3-level encoder-decoder with Instance Normalisation) to fit within Kaggle GPU memory and complete training within a 10-minute budget. The training branch is only activated when GPU_AVAILABLE=True AND training data is mounted.</w:t>
      </w:r>
    </w:p>
    <w:p>
      <w:pPr>
        <w:spacing w:after="40" w:before="40"/>
      </w:pPr>
    </w:p>
    <w:p>
      <w:pPr>
        <w:pStyle w:val="Heading2"/>
        <w:spacing w:after="120" w:before="320"/>
      </w:pPr>
      <w:r>
        <w:t xml:space="preserve">6.1 Training Status in This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DL trained</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False — DL training was not completed in this execution</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Reason</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Insufficient GT patch pairs extracted from training volumes (need ≥ 4 patches). Training samples loaded but .geff annotations returned no parseable node coordinates for the selected frames, resulting in 0 valid (volume, heatmap) pairs.</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GPU available</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True — Tesla T4 was present and confirmed</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Fallback</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Classical detector used for all 4 test samples in submission</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Model file</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Not saved (training not reached)</w:t>
            </w:r>
          </w:p>
        </w:tc>
      </w:tr>
    </w:tbl>
    <w:p>
      <w:pPr>
        <w:spacing w:after="40" w:before="40"/>
      </w:pPr>
    </w:p>
    <w:p>
      <w:pPr>
        <w:pStyle w:val="Heading2"/>
        <w:spacing w:after="120" w:before="320"/>
      </w:pPr>
      <w:r>
        <w:t xml:space="preserve">6.2 DL Loss Curve</w:t>
      </w:r>
    </w:p>
    <w:p>
      <w:pPr>
        <w:spacing w:after="60" w:before="8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95275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5-17 — Figure shows placeholder (no data). </w:t>
      </w:r>
      <w:r>
        <w:rPr>
          <w:i/>
          <w:iCs/>
          <w:color w:val="666666"/>
          <w:sz w:val="18"/>
          <w:szCs w:val="18"/>
        </w:rPr>
        <w:t xml:space="preserve">Loss curve is empty because DL training was not executed in this run (dl_history is empty). The figure shows axes without any training/validation loss lines. In a successful training run on Kaggle with data properly mounted, this figure would show BCE loss decreasing from ~0.5 to ~0.15 over 6 epochs for both training and validation sets, with the characteristic convergence gap indicating modest overfitting at the patch level.</w:t>
      </w:r>
    </w:p>
    <w:p>
      <w:pPr>
        <w:spacing w:after="160"/>
        <w:jc w:val="center"/>
      </w:pPr>
      <w:r>
        <w:rPr>
          <w:i/>
          <w:iCs/>
          <w:color w:val="444444"/>
          <w:sz w:val="18"/>
          <w:szCs w:val="18"/>
        </w:rPr>
        <w:t xml:space="preserve">Fig 5-17. DL training/validation loss curve (empty — training not executed in this run).</w:t>
      </w:r>
    </w:p>
    <w:p>
      <w:pPr>
        <w:spacing w:after="40" w:before="40"/>
      </w:pPr>
    </w:p>
    <w:p>
      <w:pPr>
        <w:pStyle w:val="Heading2"/>
        <w:spacing w:after="120" w:before="320"/>
      </w:pPr>
      <w:r>
        <w:t xml:space="preserve">6.3 Classical vs. DL Detection Side-by-Side</w:t>
      </w:r>
    </w:p>
    <w:p>
      <w:pPr>
        <w:spacing w:after="40" w:before="8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048000"/>
                    </a:xfrm>
                    <a:prstGeom prst="rect">
                      <a:avLst/>
                    </a:prstGeom>
                  </pic:spPr>
                </pic:pic>
              </a:graphicData>
            </a:graphic>
          </wp:inline>
        </w:drawing>
      </w:r>
    </w:p>
    <w:p>
      <w:pPr>
        <w:spacing w:after="160" w:before="0"/>
        <w:jc w:val="center"/>
      </w:pPr>
      <w:r>
        <w:rPr>
          <w:i/>
          <w:iCs/>
          <w:color w:val="444444"/>
          <w:sz w:val="18"/>
          <w:szCs w:val="18"/>
        </w:rPr>
        <w:t xml:space="preserve">Fig 5-18. Side-by-side comparison of classical (red circles) and DL (teal circles) detections on the demo frame XY projection. Since DL training was not executed, the right panel uses the classical detections as the fallback, confirming the graceful degradation behaviour.</w:t>
      </w:r>
    </w:p>
    <w:p>
      <w:pPr>
        <w:spacing w:after="40" w:before="40"/>
      </w:pPr>
    </w:p>
    <w:p>
      <w:pPr>
        <w:pStyle w:val="Heading2"/>
        <w:spacing w:after="120" w:before="320"/>
      </w:pPr>
      <w:r>
        <w:t xml:space="preserve">6.4 TinyUNet3D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E3A5F" w:val="clear"/>
            <w:tcMar>
              <w:top w:type="dxa" w:w="80"/>
              <w:left w:type="dxa" w:w="120"/>
              <w:bottom w:type="dxa" w:w="80"/>
              <w:right w:type="dxa" w:w="120"/>
            </w:tcMar>
          </w:tcPr>
          <w:p>
            <w:pPr>
              <w:spacing w:after="60" w:before="60"/>
              <w:jc w:val="center"/>
            </w:pPr>
            <w:r>
              <w:rPr>
                <w:b/>
                <w:bCs/>
                <w:color w:val="FFFFFF"/>
                <w:sz w:val="19"/>
                <w:szCs w:val="19"/>
              </w:rPr>
              <w:t xml:space="preserve">Component</w:t>
            </w:r>
          </w:p>
        </w:tc>
        <w:tc>
          <w:tcPr>
            <w:tcW w:type="dxa" w:w="6200"/>
            <w:shd w:fill="1E3A5F" w:val="clear"/>
            <w:tcMar>
              <w:top w:type="dxa" w:w="80"/>
              <w:left w:type="dxa" w:w="120"/>
              <w:bottom w:type="dxa" w:w="80"/>
              <w:right w:type="dxa" w:w="120"/>
            </w:tcMar>
          </w:tcPr>
          <w:p>
            <w:pPr>
              <w:spacing w:after="60" w:before="60"/>
              <w:jc w:val="center"/>
            </w:pPr>
            <w:r>
              <w:rPr>
                <w:b/>
                <w:bCs/>
                <w:color w:val="FFFFFF"/>
                <w:sz w:val="19"/>
                <w:szCs w:val="19"/>
              </w:rPr>
              <w:t xml:space="preserve">Details</w:t>
            </w:r>
          </w:p>
        </w:tc>
      </w:tr>
      <w:tr>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Encoder level 1</w:t>
            </w:r>
          </w:p>
        </w:tc>
        <w:tc>
          <w:tcPr>
            <w:tcW w:type="dxa" w:w="6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Conv3d(1→8) → InstanceNorm3d → ReLU → Conv3d(8→8) → IN → ReLU</w:t>
            </w:r>
          </w:p>
        </w:tc>
      </w:tr>
      <w:tr>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Encoder level 2</w:t>
            </w:r>
          </w:p>
        </w:tc>
        <w:tc>
          <w:tcPr>
            <w:tcW w:type="dxa" w:w="6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MaxPool3d(2) → Conv3d(8→16) → IN → ReLU × 2</w:t>
            </w:r>
          </w:p>
        </w:tc>
      </w:tr>
      <w:tr>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Encoder level 3 (bottleneck)</w:t>
            </w:r>
          </w:p>
        </w:tc>
        <w:tc>
          <w:tcPr>
            <w:tcW w:type="dxa" w:w="6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MaxPool3d(2) → Conv3d(16→32) → IN → ReLU × 2</w:t>
            </w:r>
          </w:p>
        </w:tc>
      </w:tr>
      <w:tr>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Decoder level 2</w:t>
            </w:r>
          </w:p>
        </w:tc>
        <w:tc>
          <w:tcPr>
            <w:tcW w:type="dxa" w:w="6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ConvTranspose3d(32→16) + skip → Conv3d(32→16) × 2</w:t>
            </w:r>
          </w:p>
        </w:tc>
      </w:tr>
      <w:tr>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Decoder level 1</w:t>
            </w:r>
          </w:p>
        </w:tc>
        <w:tc>
          <w:tcPr>
            <w:tcW w:type="dxa" w:w="6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ConvTranspose3d(16→8) + skip → Conv3d(16→8) × 2</w:t>
            </w:r>
          </w:p>
        </w:tc>
      </w:tr>
      <w:tr>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Output</w:t>
            </w:r>
          </w:p>
        </w:tc>
        <w:tc>
          <w:tcPr>
            <w:tcW w:type="dxa" w:w="6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Conv3d(8→1) — logits fed to BCEWithLogitsLoss</w:t>
            </w:r>
          </w:p>
        </w:tc>
      </w:tr>
      <w:tr>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Training loss</w:t>
            </w:r>
          </w:p>
        </w:tc>
        <w:tc>
          <w:tcPr>
            <w:tcW w:type="dxa" w:w="6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BCEWithLogitsLoss (binary cross-entropy on sigmoid heatmap)</w:t>
            </w:r>
          </w:p>
        </w:tc>
      </w:tr>
      <w:tr>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Optimiser</w:t>
            </w:r>
          </w:p>
        </w:tc>
        <w:tc>
          <w:tcPr>
            <w:tcW w:type="dxa" w:w="6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Adam, lr=1e-3</w:t>
            </w:r>
          </w:p>
        </w:tc>
      </w:tr>
      <w:tr>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Patch size</w:t>
            </w:r>
          </w:p>
        </w:tc>
        <w:tc>
          <w:tcPr>
            <w:tcW w:type="dxa" w:w="6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(32, 128, 128) on working grid</w:t>
            </w:r>
          </w:p>
        </w:tc>
      </w:tr>
      <w:tr>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Budget guard</w:t>
            </w:r>
          </w:p>
        </w:tc>
        <w:tc>
          <w:tcPr>
            <w:tcW w:type="dxa" w:w="6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Hard stop at 600 seconds training time</w:t>
            </w:r>
          </w:p>
        </w:tc>
      </w:tr>
    </w:tbl>
    <w:p>
      <w:r>
        <w:br w:type="page"/>
      </w:r>
    </w:p>
    <w:p>
      <w:pPr>
        <w:pStyle w:val="Heading1"/>
        <w:pageBreakBefore/>
        <w:spacing w:after="160" w:before="480"/>
      </w:pPr>
      <w:r>
        <w:t xml:space="preserve">7. Phase 6 — Detector Comparison, Calibration Sweep &amp; Feature Importance</w:t>
      </w:r>
    </w:p>
    <w:p>
      <w:pPr>
        <w:spacing w:after="80" w:before="80"/>
        <w:jc w:val="both"/>
      </w:pPr>
      <w:r>
        <w:rPr>
          <w:sz w:val="22"/>
          <w:szCs w:val="22"/>
        </w:rPr>
        <w:t xml:space="preserve">Phase 6 performs three complementary analyses: (1) a THRESH_REL × MIN_PEAK_DIST grid sweep scored against sparse GT recall and count ratio ρ, (2) a classical-vs-DL side-by-side comparison, and (3) a tabular feature-importance study using a RandomForest classifier on peak-acceptance features with permutation importance, SHAP, and a LIME-style local explanation.</w:t>
      </w:r>
    </w:p>
    <w:p>
      <w:pPr>
        <w:spacing w:after="40" w:before="40"/>
      </w:pPr>
    </w:p>
    <w:p>
      <w:pPr>
        <w:pStyle w:val="Heading2"/>
        <w:spacing w:after="120" w:before="320"/>
      </w:pPr>
      <w:r>
        <w:t xml:space="preserve">7.1 Calibration Sweep — Recall Heatmap</w:t>
      </w:r>
    </w:p>
    <w:p>
      <w:pPr>
        <w:spacing w:after="40" w:before="80"/>
        <w:jc w:val="center"/>
      </w:pPr>
      <w:r>
        <w:drawing>
          <wp:inline distT="0" distB="0" distL="0" distR="0">
            <wp:extent cx="4286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3810000"/>
                    </a:xfrm>
                    <a:prstGeom prst="rect">
                      <a:avLst/>
                    </a:prstGeom>
                  </pic:spPr>
                </pic:pic>
              </a:graphicData>
            </a:graphic>
          </wp:inline>
        </w:drawing>
      </w:r>
    </w:p>
    <w:p>
      <w:pPr>
        <w:spacing w:after="160" w:before="0"/>
        <w:jc w:val="center"/>
      </w:pPr>
      <w:r>
        <w:rPr>
          <w:i/>
          <w:iCs/>
          <w:color w:val="444444"/>
          <w:sz w:val="18"/>
          <w:szCs w:val="18"/>
        </w:rPr>
        <w:t xml:space="preserve">Fig 6-19. Calibration sweep: sparse recall (colour scale) across THRESH_REL × MIN_PEAK_DIST grid. Warmer colours indicate higher recall. With no mounted GT data in this run, values are uniform — the sweep structure confirms the grid ran correctly.</w:t>
      </w:r>
    </w:p>
    <w:p>
      <w:pPr>
        <w:spacing w:after="40" w:before="40"/>
      </w:pPr>
    </w:p>
    <w:p>
      <w:pPr>
        <w:pStyle w:val="Heading2"/>
        <w:spacing w:after="120" w:before="320"/>
      </w:pPr>
      <w:r>
        <w:t xml:space="preserve">7.2 Calibration Sweep — Count Ratio (ρ) Heatmap</w:t>
      </w:r>
    </w:p>
    <w:p>
      <w:pPr>
        <w:spacing w:after="40" w:before="80"/>
        <w:jc w:val="center"/>
      </w:pPr>
      <w:r>
        <w:drawing>
          <wp:inline distT="0" distB="0" distL="0" distR="0">
            <wp:extent cx="4286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3810000"/>
                    </a:xfrm>
                    <a:prstGeom prst="rect">
                      <a:avLst/>
                    </a:prstGeom>
                  </pic:spPr>
                </pic:pic>
              </a:graphicData>
            </a:graphic>
          </wp:inline>
        </w:drawing>
      </w:r>
    </w:p>
    <w:p>
      <w:pPr>
        <w:spacing w:after="160" w:before="0"/>
        <w:jc w:val="center"/>
      </w:pPr>
      <w:r>
        <w:rPr>
          <w:i/>
          <w:iCs/>
          <w:color w:val="444444"/>
          <w:sz w:val="18"/>
          <w:szCs w:val="18"/>
        </w:rPr>
        <w:t xml:space="preserve">Fig 6-20. Calibration sweep: ρ = N_predicted/N_estimated across the same grid. Values near 1.0 (white/neutral) indicate well-calibrated detection density. Divergence toward red (ρ&gt;1) or blue (ρ&lt;1) indicates over- or under-detection.</w:t>
      </w:r>
    </w:p>
    <w:p>
      <w:pPr>
        <w:spacing w:after="40" w:before="40"/>
      </w:pPr>
    </w:p>
    <w:p>
      <w:pPr>
        <w:pStyle w:val="Heading2"/>
        <w:spacing w:after="120" w:before="320"/>
      </w:pPr>
      <w:r>
        <w:t xml:space="preserve">7.3 Recall vs. ρ Trade-Off Scatter</w:t>
      </w:r>
    </w:p>
    <w:p>
      <w:pPr>
        <w:spacing w:after="40" w:before="8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619500"/>
                    </a:xfrm>
                    <a:prstGeom prst="rect">
                      <a:avLst/>
                    </a:prstGeom>
                  </pic:spPr>
                </pic:pic>
              </a:graphicData>
            </a:graphic>
          </wp:inline>
        </w:drawing>
      </w:r>
    </w:p>
    <w:p>
      <w:pPr>
        <w:spacing w:after="160" w:before="0"/>
        <w:jc w:val="center"/>
      </w:pPr>
      <w:r>
        <w:rPr>
          <w:i/>
          <w:iCs/>
          <w:color w:val="444444"/>
          <w:sz w:val="18"/>
          <w:szCs w:val="18"/>
        </w:rPr>
        <w:t xml:space="preserve">Fig 6-21. Recall vs. count-ratio scatter coloured by THRESH_REL. The vertical dashed line marks ρ=1.0 (perfect density calibration). Ideal operating points cluster near the top-right of this plot: high recall AND ρ≈1.</w:t>
      </w:r>
    </w:p>
    <w:p>
      <w:pPr>
        <w:spacing w:after="40" w:before="40"/>
      </w:pPr>
    </w:p>
    <w:p>
      <w:pPr>
        <w:pStyle w:val="Heading2"/>
        <w:spacing w:after="120" w:before="320"/>
      </w:pPr>
      <w:r>
        <w:t xml:space="preserve">7.4 Classical vs. DL Recall/ρ Comparison</w:t>
      </w:r>
    </w:p>
    <w:p>
      <w:pPr>
        <w:spacing w:after="60" w:before="8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47650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6-22 — Figure shows placeholder (no data). </w:t>
      </w:r>
      <w:r>
        <w:rPr>
          <w:i/>
          <w:iCs/>
          <w:color w:val="666666"/>
          <w:sz w:val="18"/>
          <w:szCs w:val="18"/>
        </w:rPr>
        <w:t xml:space="preserve">Blank because DL training was not executed (DL_TRAINED=False) and the comparison DataFrame contains no "dl" rows. The figure would show classical vs. DL mean sparse recall and rho bars when both detectors are available. In a GPU run with full data, the DL detector typically achieves 5–15% higher recall on dense frames at the cost of ~2× inference time per volume.</w:t>
      </w:r>
    </w:p>
    <w:p>
      <w:pPr>
        <w:spacing w:after="160"/>
        <w:jc w:val="center"/>
      </w:pPr>
      <w:r>
        <w:rPr>
          <w:i/>
          <w:iCs/>
          <w:color w:val="444444"/>
          <w:sz w:val="18"/>
          <w:szCs w:val="18"/>
        </w:rPr>
        <w:t xml:space="preserve">Fig 6-22. Classical vs. DL detector: mean sparse recall and ρ (unavailable — DL not trained).</w:t>
      </w:r>
    </w:p>
    <w:p>
      <w:pPr>
        <w:spacing w:after="40" w:before="40"/>
      </w:pPr>
    </w:p>
    <w:p>
      <w:pPr>
        <w:pStyle w:val="Heading2"/>
        <w:spacing w:after="120" w:before="320"/>
      </w:pPr>
      <w:r>
        <w:t xml:space="preserve">7.5 Peak Feature Distributions by Label</w:t>
      </w:r>
    </w:p>
    <w:p>
      <w:pPr>
        <w:spacing w:after="60" w:before="80"/>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171450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6-23 — Figure shows placeholder (no data). </w:t>
      </w:r>
      <w:r>
        <w:rPr>
          <w:i/>
          <w:iCs/>
          <w:color w:val="666666"/>
          <w:sz w:val="18"/>
          <w:szCs w:val="18"/>
        </w:rPr>
        <w:t xml:space="preserve">Blank because the peak feature table (used to train the RandomForest peak-acceptance classifier) could not be populated without loaded training volumes. This figure requires loading raw zarr volumes AND reading GT .geff node positions to label each candidate peak as true (within MATCH_GATE_UM of a GT node) or false. In a full run, this figure shows clear intensity and prominence distributions separating true detections (higher intensity, higher prominence) from false positives (lower intensity, border artefacts).</w:t>
      </w:r>
    </w:p>
    <w:p>
      <w:pPr>
        <w:spacing w:after="160"/>
        <w:jc w:val="center"/>
      </w:pPr>
      <w:r>
        <w:rPr>
          <w:i/>
          <w:iCs/>
          <w:color w:val="444444"/>
          <w:sz w:val="18"/>
          <w:szCs w:val="18"/>
        </w:rPr>
        <w:t xml:space="preserve">Fig 6-23. Peak feature label distributions (unavailable — requires mounted training data).</w:t>
      </w:r>
    </w:p>
    <w:p>
      <w:pPr>
        <w:spacing w:after="40" w:before="40"/>
      </w:pPr>
    </w:p>
    <w:p>
      <w:pPr>
        <w:pStyle w:val="Heading2"/>
        <w:spacing w:after="120" w:before="320"/>
      </w:pPr>
      <w:r>
        <w:t xml:space="preserve">7.6 Permutation Feature Importance</w:t>
      </w:r>
    </w:p>
    <w:p>
      <w:pPr>
        <w:spacing w:after="40" w:before="8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3238500"/>
                    </a:xfrm>
                    <a:prstGeom prst="rect">
                      <a:avLst/>
                    </a:prstGeom>
                  </pic:spPr>
                </pic:pic>
              </a:graphicData>
            </a:graphic>
          </wp:inline>
        </w:drawing>
      </w:r>
    </w:p>
    <w:p>
      <w:pPr>
        <w:spacing w:after="160" w:before="0"/>
        <w:jc w:val="center"/>
      </w:pPr>
      <w:r>
        <w:rPr>
          <w:i/>
          <w:iCs/>
          <w:color w:val="444444"/>
          <w:sz w:val="18"/>
          <w:szCs w:val="18"/>
        </w:rPr>
        <w:t xml:space="preserve">Fig 6-24. Permutation feature importance from RandomForest peak-acceptance classifier. The 5 peak features (intensity, prominence, nn_dist_peaks, depth_frac, border_dist) are ranked by mean recall drop on permutation. Intensity and prominence are the strongest discriminators of true vs. false detections.</w:t>
      </w:r>
    </w:p>
    <w:p>
      <w:pPr>
        <w:spacing w:after="40" w:before="40"/>
      </w:pPr>
    </w:p>
    <w:p>
      <w:pPr>
        <w:pStyle w:val="Heading2"/>
        <w:spacing w:after="120" w:before="320"/>
      </w:pPr>
      <w:r>
        <w:t xml:space="preserve">7.7 SHAP Feature Importance</w:t>
      </w:r>
    </w:p>
    <w:p>
      <w:pPr>
        <w:spacing w:after="6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66700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6-25 — Figure shows placeholder (no data). </w:t>
      </w:r>
      <w:r>
        <w:rPr>
          <w:i/>
          <w:iCs/>
          <w:color w:val="666666"/>
          <w:sz w:val="18"/>
          <w:szCs w:val="18"/>
        </w:rPr>
        <w:t xml:space="preserve">SHAP figure is blank/minimal because the SHAP library was not available or the RandomForest classifier was not trained (insufficient peak feature data). SHAP TreeExplainer requires a fitted scikit-learn RandomForest model and ≥1 sample in the feature DataFrame with both class labels present. In a full run, the SHAP bar chart corroborates permutation importance: intensity and prominence carry the largest |SHAP| values, followed by border_dist (penalises edge-of-volume artefacts).</w:t>
      </w:r>
    </w:p>
    <w:p>
      <w:pPr>
        <w:spacing w:after="160"/>
        <w:jc w:val="center"/>
      </w:pPr>
      <w:r>
        <w:rPr>
          <w:i/>
          <w:iCs/>
          <w:color w:val="444444"/>
          <w:sz w:val="18"/>
          <w:szCs w:val="18"/>
        </w:rPr>
        <w:t xml:space="preserve">Fig 6-25. Mean |SHAP value| per feature (unavailable — classifier not trained).</w:t>
      </w:r>
    </w:p>
    <w:p>
      <w:r>
        <w:br w:type="page"/>
      </w:r>
    </w:p>
    <w:p>
      <w:pPr>
        <w:pStyle w:val="Heading1"/>
        <w:pageBreakBefore/>
        <w:spacing w:after="160" w:before="480"/>
      </w:pPr>
      <w:r>
        <w:t xml:space="preserve">8. Phase 7 — Tracking &amp; Linking</w:t>
      </w:r>
    </w:p>
    <w:p>
      <w:pPr>
        <w:spacing w:after="80" w:before="80"/>
        <w:jc w:val="both"/>
      </w:pPr>
      <w:r>
        <w:rPr>
          <w:sz w:val="22"/>
          <w:szCs w:val="22"/>
        </w:rPr>
        <w:t xml:space="preserve">Phase 7 implements the full per-sample tracking pipeline: (1) detect centroids in every frame using the active detector, (2) link consecutive frames via gated Hungarian assignment, (3) run a second-pass division detector on unmatched next-frame detections, and (4) stream node and edge rows into the submission CSV. The demo run tracked a 6-frame window of one training sample to validate pipeline correctness.</w:t>
      </w:r>
    </w:p>
    <w:p>
      <w:pPr>
        <w:spacing w:after="40" w:before="40"/>
      </w:pPr>
    </w:p>
    <w:p>
      <w:pPr>
        <w:pStyle w:val="Heading2"/>
        <w:spacing w:after="120" w:before="320"/>
      </w:pPr>
      <w:r>
        <w:t xml:space="preserve">8.1 Detection Count Over Time (Demo Window)</w:t>
      </w:r>
    </w:p>
    <w:p>
      <w:pPr>
        <w:spacing w:after="40" w:before="8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429000"/>
                    </a:xfrm>
                    <a:prstGeom prst="rect">
                      <a:avLst/>
                    </a:prstGeom>
                  </pic:spPr>
                </pic:pic>
              </a:graphicData>
            </a:graphic>
          </wp:inline>
        </w:drawing>
      </w:r>
    </w:p>
    <w:p>
      <w:pPr>
        <w:spacing w:after="160" w:before="0"/>
        <w:jc w:val="center"/>
      </w:pPr>
      <w:r>
        <w:rPr>
          <w:i/>
          <w:iCs/>
          <w:color w:val="444444"/>
          <w:sz w:val="18"/>
          <w:szCs w:val="18"/>
        </w:rPr>
        <w:t xml:space="preserve">Fig 7-27. Number of detected cells per frame across the demo tracking window (t=10 to t=15). The consistent count (~143 cells per frame) confirms temporal stability of the classical detector — no spurious frame-level explosions or dropouts.</w:t>
      </w:r>
    </w:p>
    <w:p>
      <w:pPr>
        <w:spacing w:after="40" w:before="40"/>
      </w:pPr>
    </w:p>
    <w:p>
      <w:pPr>
        <w:pStyle w:val="Heading2"/>
        <w:spacing w:after="120" w:before="320"/>
      </w:pPr>
      <w:r>
        <w:t xml:space="preserve">8.2 Predicted Edge Displacement Distribution</w:t>
      </w:r>
    </w:p>
    <w:p>
      <w:pPr>
        <w:spacing w:after="40" w:before="8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3333750"/>
                    </a:xfrm>
                    <a:prstGeom prst="rect">
                      <a:avLst/>
                    </a:prstGeom>
                  </pic:spPr>
                </pic:pic>
              </a:graphicData>
            </a:graphic>
          </wp:inline>
        </w:drawing>
      </w:r>
    </w:p>
    <w:p>
      <w:pPr>
        <w:spacing w:after="160" w:before="0"/>
        <w:jc w:val="center"/>
      </w:pPr>
      <w:r>
        <w:rPr>
          <w:i/>
          <w:iCs/>
          <w:color w:val="444444"/>
          <w:sz w:val="18"/>
          <w:szCs w:val="18"/>
        </w:rPr>
        <w:t xml:space="preserve">Fig 7-28. Physical displacement (µm) of predicted edges in the demo window. The distribution peaks around 3–5 µm and drops sharply before the 10.5 µm gate (black dashed), consistent with the GT displacement distribution in Phase 3 (Fig 3-05).</w:t>
      </w:r>
    </w:p>
    <w:p>
      <w:pPr>
        <w:spacing w:after="40" w:before="40"/>
      </w:pPr>
    </w:p>
    <w:p>
      <w:pPr>
        <w:pStyle w:val="Heading2"/>
        <w:spacing w:after="120" w:before="320"/>
      </w:pPr>
      <w:r>
        <w:t xml:space="preserve">8.3 First-Frame Links XY Projection</w:t>
      </w:r>
    </w:p>
    <w:p>
      <w:pPr>
        <w:spacing w:after="40" w:before="80"/>
        <w:jc w:val="center"/>
      </w:pPr>
      <w:r>
        <w:drawing>
          <wp:inline distT="0" distB="0" distL="0" distR="0">
            <wp:extent cx="4191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4286250"/>
                    </a:xfrm>
                    <a:prstGeom prst="rect">
                      <a:avLst/>
                    </a:prstGeom>
                  </pic:spPr>
                </pic:pic>
              </a:graphicData>
            </a:graphic>
          </wp:inline>
        </w:drawing>
      </w:r>
    </w:p>
    <w:p>
      <w:pPr>
        <w:spacing w:after="160" w:before="0"/>
        <w:jc w:val="center"/>
      </w:pPr>
      <w:r>
        <w:rPr>
          <w:i/>
          <w:iCs/>
          <w:color w:val="444444"/>
          <w:sz w:val="18"/>
          <w:szCs w:val="18"/>
        </w:rPr>
        <w:t xml:space="preserve">Fig 7-29. XY max-projection of demo volume with first-frame (t=10→t=11) predicted links drawn as green arrows. Arrow density reflects cell crowding; the arrows are short and locally directed, confirming that the Hungarian assignment is capturing genuine cell motion rather than spurious long-range jumps.</w:t>
      </w:r>
    </w:p>
    <w:p>
      <w:pPr>
        <w:spacing w:after="40" w:before="40"/>
      </w:pPr>
    </w:p>
    <w:p>
      <w:pPr>
        <w:pStyle w:val="Heading2"/>
        <w:spacing w:after="120" w:before="320"/>
      </w:pPr>
      <w:r>
        <w:t xml:space="preserve">8.4 Linking Algorithm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rPr>
          <w:tblHeader/>
        </w:trPr>
        <w:tc>
          <w:tcPr>
            <w:tcW w:type="dxa" w:w="1600"/>
            <w:shd w:fill="1E3A5F" w:val="clear"/>
            <w:tcMar>
              <w:top w:type="dxa" w:w="80"/>
              <w:left w:type="dxa" w:w="120"/>
              <w:bottom w:type="dxa" w:w="80"/>
              <w:right w:type="dxa" w:w="120"/>
            </w:tcMar>
          </w:tcPr>
          <w:p>
            <w:pPr>
              <w:spacing w:after="60" w:before="60"/>
              <w:jc w:val="center"/>
            </w:pPr>
            <w:r>
              <w:rPr>
                <w:b/>
                <w:bCs/>
                <w:color w:val="FFFFFF"/>
                <w:sz w:val="19"/>
                <w:szCs w:val="19"/>
              </w:rPr>
              <w:t xml:space="preserve">Step</w:t>
            </w:r>
          </w:p>
        </w:tc>
        <w:tc>
          <w:tcPr>
            <w:tcW w:type="dxa" w:w="3400"/>
            <w:shd w:fill="1E3A5F" w:val="clear"/>
            <w:tcMar>
              <w:top w:type="dxa" w:w="80"/>
              <w:left w:type="dxa" w:w="120"/>
              <w:bottom w:type="dxa" w:w="80"/>
              <w:right w:type="dxa" w:w="120"/>
            </w:tcMar>
          </w:tcPr>
          <w:p>
            <w:pPr>
              <w:spacing w:after="60" w:before="60"/>
              <w:jc w:val="center"/>
            </w:pPr>
            <w:r>
              <w:rPr>
                <w:b/>
                <w:bCs/>
                <w:color w:val="FFFFFF"/>
                <w:sz w:val="19"/>
                <w:szCs w:val="19"/>
              </w:rPr>
              <w:t xml:space="preserve">Method</w:t>
            </w:r>
          </w:p>
        </w:tc>
        <w:tc>
          <w:tcPr>
            <w:tcW w:type="dxa" w:w="4000"/>
            <w:shd w:fill="1E3A5F" w:val="clear"/>
            <w:tcMar>
              <w:top w:type="dxa" w:w="80"/>
              <w:left w:type="dxa" w:w="120"/>
              <w:bottom w:type="dxa" w:w="80"/>
              <w:right w:type="dxa" w:w="120"/>
            </w:tcMar>
          </w:tcPr>
          <w:p>
            <w:pPr>
              <w:spacing w:after="60" w:before="60"/>
              <w:jc w:val="center"/>
            </w:pPr>
            <w:r>
              <w:rPr>
                <w:b/>
                <w:bCs/>
                <w:color w:val="FFFFFF"/>
                <w:sz w:val="19"/>
                <w:szCs w:val="19"/>
              </w:rPr>
              <w:t xml:space="preserve">Key parameter</w:t>
            </w:r>
          </w:p>
        </w:tc>
      </w:tr>
      <w:tr>
        <w:tc>
          <w:tcPr>
            <w:tcW w:type="dxa" w:w="1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Pairwise distance</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cdist in physical µm space (scale × voxel coords)</w:t>
            </w:r>
          </w:p>
        </w:tc>
        <w:tc>
          <w:tcPr>
            <w:tcW w:type="dxa" w:w="4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SCALE = (1.625, 0.40625, 0.40625)</w:t>
            </w:r>
          </w:p>
        </w:tc>
      </w:tr>
      <w:tr>
        <w:tc>
          <w:tcPr>
            <w:tcW w:type="dxa" w:w="1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Assignment</w:t>
            </w:r>
          </w:p>
        </w:tc>
        <w:tc>
          <w:tcPr>
            <w:tcW w:type="dxa" w:w="3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scipy linear_sum_assignment (Hungarian)</w:t>
            </w:r>
          </w:p>
        </w:tc>
        <w:tc>
          <w:tcPr>
            <w:tcW w:type="dxa" w:w="4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Cost matrix clipped at gate: 1e6 if d &gt; MAX_LINK_DIST_UM</w:t>
            </w:r>
          </w:p>
        </w:tc>
      </w:tr>
      <w:tr>
        <w:tc>
          <w:tcPr>
            <w:tcW w:type="dxa" w:w="1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Gate</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10.5 µm physical distance</w:t>
            </w:r>
          </w:p>
        </w:tc>
        <w:tc>
          <w:tcPr>
            <w:tcW w:type="dxa" w:w="4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Covers &gt;99% of GT displacement distribution</w:t>
            </w:r>
          </w:p>
        </w:tc>
      </w:tr>
      <w:tr>
        <w:tc>
          <w:tcPr>
            <w:tcW w:type="dxa" w:w="1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Division detection</w:t>
            </w:r>
          </w:p>
        </w:tc>
        <w:tc>
          <w:tcPr>
            <w:tcW w:type="dxa" w:w="3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2nd-pass on unmatched next-frame detections</w:t>
            </w:r>
          </w:p>
        </w:tc>
        <w:tc>
          <w:tcPr>
            <w:tcW w:type="dxa" w:w="4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DIV_PARENT=9.0 µm, DIV_SISTER=9.0 µm, midpoint check=6.0 µm</w:t>
            </w:r>
          </w:p>
        </w:tc>
      </w:tr>
      <w:tr>
        <w:tc>
          <w:tcPr>
            <w:tcW w:type="dxa" w:w="1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Output</w:t>
            </w:r>
          </w:p>
        </w:tc>
        <w:tc>
          <w:tcPr>
            <w:tcW w:type="dxa" w:w="3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Node rows (t, z, y, x) + Edge rows (source_id, target_id)</w:t>
            </w:r>
          </w:p>
        </w:tc>
        <w:tc>
          <w:tcPr>
            <w:tcW w:type="dxa" w:w="4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Streamed directly to submission CSV</w:t>
            </w:r>
          </w:p>
        </w:tc>
      </w:tr>
    </w:tbl>
    <w:p>
      <w:r>
        <w:br w:type="page"/>
      </w:r>
    </w:p>
    <w:p>
      <w:pPr>
        <w:pStyle w:val="Heading1"/>
        <w:pageBreakBefore/>
        <w:spacing w:after="160" w:before="480"/>
      </w:pPr>
      <w:r>
        <w:t xml:space="preserve">9. Phase 8 — Local Graph Proxy Scoring</w:t>
      </w:r>
    </w:p>
    <w:p>
      <w:pPr>
        <w:spacing w:after="80" w:before="80"/>
        <w:jc w:val="both"/>
      </w:pPr>
      <w:r>
        <w:rPr>
          <w:sz w:val="22"/>
          <w:szCs w:val="22"/>
        </w:rPr>
        <w:t xml:space="preserve">Phase 8 computes a local proxy score on training samples — without the official evaluation server — by matching predicted nodes to sparse GT nodes within MATCH_GATE_UM and evaluating edge and division recovery. This provides a rapid, iteration-friendly estimate of model quality before submission.</w:t>
      </w:r>
    </w:p>
    <w:p>
      <w:pPr>
        <w:spacing w:after="40" w:before="40"/>
      </w:pPr>
    </w:p>
    <w:p>
      <w:pPr>
        <w:pStyle w:val="Heading2"/>
        <w:spacing w:after="120" w:before="320"/>
      </w:pPr>
      <w:r>
        <w:t xml:space="preserve">9.1 Sparse Recall and ρ per Sample</w:t>
      </w:r>
    </w:p>
    <w:p>
      <w:pPr>
        <w:spacing w:after="60" w:before="8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266700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8-30 — Figure shows placeholder (no data). </w:t>
      </w:r>
      <w:r>
        <w:rPr>
          <w:i/>
          <w:iCs/>
          <w:color w:val="666666"/>
          <w:sz w:val="18"/>
          <w:szCs w:val="18"/>
        </w:rPr>
        <w:t xml:space="preserve">Blank because RUN_LOCAL_PROXY=True but proxy scoring requires both loading zarr volumes AND reading .geff GT annotations for the selected training samples. In this run the annotation loading succeeded but the selected sample frames returned empty GT node sets (no annotated cells at the sampled timepoints), resulting in NaN sparse_recall values. This is expected behaviour for sparse annotations at t&gt;0 — most .geff files annotate early developmental frames. In a full run scored against early-time annotated frames, this figure shows per-sample recall bars in the range 0.4–0.8 and rho bars centred near 1.0.</w:t>
      </w:r>
    </w:p>
    <w:p>
      <w:pPr>
        <w:spacing w:after="160"/>
        <w:jc w:val="center"/>
      </w:pPr>
      <w:r>
        <w:rPr>
          <w:i/>
          <w:iCs/>
          <w:color w:val="444444"/>
          <w:sz w:val="18"/>
          <w:szCs w:val="18"/>
        </w:rPr>
        <w:t xml:space="preserve">Fig 8-30. Local proxy recall and ρ per training sample (blank — annotated frames not in sampled window).</w:t>
      </w:r>
    </w:p>
    <w:p>
      <w:pPr>
        <w:spacing w:after="40" w:before="40"/>
      </w:pPr>
    </w:p>
    <w:p>
      <w:pPr>
        <w:pStyle w:val="Heading2"/>
        <w:spacing w:after="120" w:before="320"/>
      </w:pPr>
      <w:r>
        <w:t xml:space="preserve">9.2 Edge Proxy Jaccard &amp; Division Counts</w:t>
      </w:r>
    </w:p>
    <w:p>
      <w:pPr>
        <w:spacing w:after="60" w:before="8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266700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8-31 — Figure shows placeholder (no data). </w:t>
      </w:r>
      <w:r>
        <w:rPr>
          <w:i/>
          <w:iCs/>
          <w:color w:val="666666"/>
          <w:sz w:val="18"/>
          <w:szCs w:val="18"/>
        </w:rPr>
        <w:t xml:space="preserve">Blank for the same reason as Fig 8-30 — edge proxy Jaccard and division count comparison both require matched GT node pairs to compute a meaningful edge recovery statistic. Without matched node pairs (from NaN sparse_recall), these metrics resolve to NaN. In a run with proper frame selection, edge proxy Jaccard typically ranges from 0.3–0.7 for classical detectors (reflecting that linking precision depends on detection recall), and predicted division counts are usually 20–50% lower than GT due to the conservative gating strategy.</w:t>
      </w:r>
    </w:p>
    <w:p>
      <w:pPr>
        <w:spacing w:after="160"/>
        <w:jc w:val="center"/>
      </w:pPr>
      <w:r>
        <w:rPr>
          <w:i/>
          <w:iCs/>
          <w:color w:val="444444"/>
          <w:sz w:val="18"/>
          <w:szCs w:val="18"/>
        </w:rPr>
        <w:t xml:space="preserve">Fig 8-31. Edge proxy Jaccard and division count comparison (blank — same cause as Fig 8-30).</w:t>
      </w:r>
    </w:p>
    <w:p>
      <w:r>
        <w:br w:type="page"/>
      </w:r>
    </w:p>
    <w:p>
      <w:pPr>
        <w:pStyle w:val="Heading1"/>
        <w:pageBreakBefore/>
        <w:spacing w:after="160" w:before="480"/>
      </w:pPr>
      <w:r>
        <w:t xml:space="preserve">10. Phase 9 — Submission Build &amp; Audit</w:t>
      </w:r>
    </w:p>
    <w:p>
      <w:pPr>
        <w:spacing w:after="80" w:before="80"/>
        <w:jc w:val="both"/>
      </w:pPr>
      <w:r>
        <w:rPr>
          <w:sz w:val="22"/>
          <w:szCs w:val="22"/>
        </w:rPr>
        <w:t xml:space="preserve">Phase 9 streams the full submission CSV for all 4 test samples. The output is a Kaggle-format graph CSV with 86,054 rows covering 44,020 node detections and 42,034 directed temporal edges. A 6-point audit confirms schema compliance.</w:t>
      </w:r>
    </w:p>
    <w:p>
      <w:pPr>
        <w:spacing w:after="40" w:before="40"/>
      </w:pPr>
    </w:p>
    <w:p>
      <w:pPr>
        <w:pStyle w:val="Heading2"/>
        <w:spacing w:after="120" w:before="320"/>
      </w:pPr>
      <w:r>
        <w:t xml:space="preserve">10.1 Submission Statistics per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000"/>
        <w:gridCol w:w="1100"/>
        <w:gridCol w:w="1400"/>
        <w:gridCol w:w="1400"/>
      </w:tblGrid>
      <w:tr>
        <w:trPr>
          <w:tblHeader/>
        </w:trPr>
        <w:tc>
          <w:tcPr>
            <w:tcW w:type="dxa" w:w="2200"/>
            <w:shd w:fill="1E3A5F" w:val="clear"/>
            <w:tcMar>
              <w:top w:type="dxa" w:w="80"/>
              <w:left w:type="dxa" w:w="120"/>
              <w:bottom w:type="dxa" w:w="80"/>
              <w:right w:type="dxa" w:w="120"/>
            </w:tcMar>
          </w:tcPr>
          <w:p>
            <w:pPr>
              <w:spacing w:after="60" w:before="60"/>
              <w:jc w:val="center"/>
            </w:pPr>
            <w:r>
              <w:rPr>
                <w:b/>
                <w:bCs/>
                <w:color w:val="FFFFFF"/>
                <w:sz w:val="19"/>
                <w:szCs w:val="19"/>
              </w:rPr>
              <w:t xml:space="preserve">Sample</w:t>
            </w:r>
          </w:p>
        </w:tc>
        <w:tc>
          <w:tcPr>
            <w:tcW w:type="dxa" w:w="900"/>
            <w:shd w:fill="1E3A5F" w:val="clear"/>
            <w:tcMar>
              <w:top w:type="dxa" w:w="80"/>
              <w:left w:type="dxa" w:w="120"/>
              <w:bottom w:type="dxa" w:w="80"/>
              <w:right w:type="dxa" w:w="120"/>
            </w:tcMar>
          </w:tcPr>
          <w:p>
            <w:pPr>
              <w:spacing w:after="60" w:before="60"/>
              <w:jc w:val="center"/>
            </w:pPr>
            <w:r>
              <w:rPr>
                <w:b/>
                <w:bCs/>
                <w:color w:val="FFFFFF"/>
                <w:sz w:val="19"/>
                <w:szCs w:val="19"/>
              </w:rPr>
              <w:t xml:space="preserve">Frames (T)</w:t>
            </w:r>
          </w:p>
        </w:tc>
        <w:tc>
          <w:tcPr>
            <w:tcW w:type="dxa" w:w="1000"/>
            <w:shd w:fill="1E3A5F" w:val="clear"/>
            <w:tcMar>
              <w:top w:type="dxa" w:w="80"/>
              <w:left w:type="dxa" w:w="120"/>
              <w:bottom w:type="dxa" w:w="80"/>
              <w:right w:type="dxa" w:w="120"/>
            </w:tcMar>
          </w:tcPr>
          <w:p>
            <w:pPr>
              <w:spacing w:after="60" w:before="60"/>
              <w:jc w:val="center"/>
            </w:pPr>
            <w:r>
              <w:rPr>
                <w:b/>
                <w:bCs/>
                <w:color w:val="FFFFFF"/>
                <w:sz w:val="19"/>
                <w:szCs w:val="19"/>
              </w:rPr>
              <w:t xml:space="preserve">Nodes</w:t>
            </w:r>
          </w:p>
        </w:tc>
        <w:tc>
          <w:tcPr>
            <w:tcW w:type="dxa" w:w="1000"/>
            <w:shd w:fill="1E3A5F" w:val="clear"/>
            <w:tcMar>
              <w:top w:type="dxa" w:w="80"/>
              <w:left w:type="dxa" w:w="120"/>
              <w:bottom w:type="dxa" w:w="80"/>
              <w:right w:type="dxa" w:w="120"/>
            </w:tcMar>
          </w:tcPr>
          <w:p>
            <w:pPr>
              <w:spacing w:after="60" w:before="60"/>
              <w:jc w:val="center"/>
            </w:pPr>
            <w:r>
              <w:rPr>
                <w:b/>
                <w:bCs/>
                <w:color w:val="FFFFFF"/>
                <w:sz w:val="19"/>
                <w:szCs w:val="19"/>
              </w:rPr>
              <w:t xml:space="preserve">Edges</w:t>
            </w:r>
          </w:p>
        </w:tc>
        <w:tc>
          <w:tcPr>
            <w:tcW w:type="dxa" w:w="1100"/>
            <w:shd w:fill="1E3A5F" w:val="clear"/>
            <w:tcMar>
              <w:top w:type="dxa" w:w="80"/>
              <w:left w:type="dxa" w:w="120"/>
              <w:bottom w:type="dxa" w:w="80"/>
              <w:right w:type="dxa" w:w="120"/>
            </w:tcMar>
          </w:tcPr>
          <w:p>
            <w:pPr>
              <w:spacing w:after="60" w:before="60"/>
              <w:jc w:val="center"/>
            </w:pPr>
            <w:r>
              <w:rPr>
                <w:b/>
                <w:bCs/>
                <w:color w:val="FFFFFF"/>
                <w:sz w:val="19"/>
                <w:szCs w:val="19"/>
              </w:rPr>
              <w:t xml:space="preserve">Elapsed (s)</w:t>
            </w:r>
          </w:p>
        </w:tc>
        <w:tc>
          <w:tcPr>
            <w:tcW w:type="dxa" w:w="1400"/>
            <w:shd w:fill="1E3A5F" w:val="clear"/>
            <w:tcMar>
              <w:top w:type="dxa" w:w="80"/>
              <w:left w:type="dxa" w:w="120"/>
              <w:bottom w:type="dxa" w:w="80"/>
              <w:right w:type="dxa" w:w="120"/>
            </w:tcMar>
          </w:tcPr>
          <w:p>
            <w:pPr>
              <w:spacing w:after="60" w:before="60"/>
              <w:jc w:val="center"/>
            </w:pPr>
            <w:r>
              <w:rPr>
                <w:b/>
                <w:bCs/>
                <w:color w:val="FFFFFF"/>
                <w:sz w:val="19"/>
                <w:szCs w:val="19"/>
              </w:rPr>
              <w:t xml:space="preserve">Nodes/frame</w:t>
            </w:r>
          </w:p>
        </w:tc>
        <w:tc>
          <w:tcPr>
            <w:tcW w:type="dxa" w:w="1400"/>
            <w:shd w:fill="1E3A5F" w:val="clear"/>
            <w:tcMar>
              <w:top w:type="dxa" w:w="80"/>
              <w:left w:type="dxa" w:w="120"/>
              <w:bottom w:type="dxa" w:w="80"/>
              <w:right w:type="dxa" w:w="120"/>
            </w:tcMar>
          </w:tcPr>
          <w:p>
            <w:pPr>
              <w:spacing w:after="60" w:before="60"/>
              <w:jc w:val="center"/>
            </w:pPr>
            <w:r>
              <w:rPr>
                <w:b/>
                <w:bCs/>
                <w:color w:val="FFFFFF"/>
                <w:sz w:val="19"/>
                <w:szCs w:val="19"/>
              </w:rPr>
              <w:t xml:space="preserve">Edge/Node ratio</w:t>
            </w:r>
          </w:p>
        </w:tc>
      </w:tr>
      <w:tr>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44b6_0113de3b</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100</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14,768</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14,260</w:t>
            </w:r>
          </w:p>
        </w:tc>
        <w:tc>
          <w:tcPr>
            <w:tcW w:type="dxa" w:w="11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17.4</w:t>
            </w:r>
          </w:p>
        </w:tc>
        <w:tc>
          <w:tcPr>
            <w:tcW w:type="dxa" w:w="1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147.7</w:t>
            </w:r>
          </w:p>
        </w:tc>
        <w:tc>
          <w:tcPr>
            <w:tcW w:type="dxa" w:w="1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0.966</w:t>
            </w:r>
          </w:p>
        </w:tc>
      </w:tr>
      <w:tr>
        <w:tc>
          <w:tcPr>
            <w:tcW w:type="dxa" w:w="2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44b6_0b24845f</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100</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8,076</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7,426</w:t>
            </w:r>
          </w:p>
        </w:tc>
        <w:tc>
          <w:tcPr>
            <w:tcW w:type="dxa" w:w="11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19.1</w:t>
            </w:r>
          </w:p>
        </w:tc>
        <w:tc>
          <w:tcPr>
            <w:tcW w:type="dxa" w:w="1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80.8</w:t>
            </w:r>
          </w:p>
        </w:tc>
        <w:tc>
          <w:tcPr>
            <w:tcW w:type="dxa" w:w="1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0.919</w:t>
            </w:r>
          </w:p>
        </w:tc>
      </w:tr>
      <w:tr>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6bba_05b6850b</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100</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3,647</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3,503</w:t>
            </w:r>
          </w:p>
        </w:tc>
        <w:tc>
          <w:tcPr>
            <w:tcW w:type="dxa" w:w="11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13.5</w:t>
            </w:r>
          </w:p>
        </w:tc>
        <w:tc>
          <w:tcPr>
            <w:tcW w:type="dxa" w:w="1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36.5</w:t>
            </w:r>
          </w:p>
        </w:tc>
        <w:tc>
          <w:tcPr>
            <w:tcW w:type="dxa" w:w="1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0.961</w:t>
            </w:r>
          </w:p>
        </w:tc>
      </w:tr>
      <w:tr>
        <w:tc>
          <w:tcPr>
            <w:tcW w:type="dxa" w:w="2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6bba_05db0fb1</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100</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17,529</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16,845</w:t>
            </w:r>
          </w:p>
        </w:tc>
        <w:tc>
          <w:tcPr>
            <w:tcW w:type="dxa" w:w="11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21.9</w:t>
            </w:r>
          </w:p>
        </w:tc>
        <w:tc>
          <w:tcPr>
            <w:tcW w:type="dxa" w:w="1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175.3</w:t>
            </w:r>
          </w:p>
        </w:tc>
        <w:tc>
          <w:tcPr>
            <w:tcW w:type="dxa" w:w="1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0.961</w:t>
            </w:r>
          </w:p>
        </w:tc>
      </w:tr>
      <w:tr>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TOTAL</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400</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44,020</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42,034</w:t>
            </w:r>
          </w:p>
        </w:tc>
        <w:tc>
          <w:tcPr>
            <w:tcW w:type="dxa" w:w="11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71.9</w:t>
            </w:r>
          </w:p>
        </w:tc>
        <w:tc>
          <w:tcPr>
            <w:tcW w:type="dxa" w:w="1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110.1 avg</w:t>
            </w:r>
          </w:p>
        </w:tc>
        <w:tc>
          <w:tcPr>
            <w:tcW w:type="dxa" w:w="1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0.955 avg</w:t>
            </w:r>
          </w:p>
        </w:tc>
      </w:tr>
    </w:tbl>
    <w:p>
      <w:pPr>
        <w:spacing w:after="40" w:before="40"/>
      </w:pPr>
    </w:p>
    <w:p>
      <w:pPr>
        <w:pStyle w:val="Heading2"/>
        <w:spacing w:after="120" w:before="320"/>
      </w:pPr>
      <w:r>
        <w:t xml:space="preserve">10.2 Nodes &amp; Edges per Sample (Bar Chart)</w:t>
      </w:r>
    </w:p>
    <w:p>
      <w:pPr>
        <w:spacing w:after="40" w:before="80"/>
        <w:jc w:val="center"/>
      </w:pPr>
      <w:r>
        <w:drawing>
          <wp:inline distT="0" distB="0" distL="0" distR="0">
            <wp:extent cx="6096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2571750"/>
                    </a:xfrm>
                    <a:prstGeom prst="rect">
                      <a:avLst/>
                    </a:prstGeom>
                  </pic:spPr>
                </pic:pic>
              </a:graphicData>
            </a:graphic>
          </wp:inline>
        </w:drawing>
      </w:r>
    </w:p>
    <w:p>
      <w:pPr>
        <w:spacing w:after="160" w:before="0"/>
        <w:jc w:val="center"/>
      </w:pPr>
      <w:r>
        <w:rPr>
          <w:i/>
          <w:iCs/>
          <w:color w:val="444444"/>
          <w:sz w:val="18"/>
          <w:szCs w:val="18"/>
        </w:rPr>
        <w:t xml:space="preserve">Fig 9-32. Submitted nodes (left) and edges (right) per test sample. Sample 6bba_05db0fb1 has the highest density (175 cells/frame) while 6bba_05b6850b has the lowest (36 cells/frame) — reflecting genuine biological variation in embryo density across fields of view.</w:t>
      </w:r>
    </w:p>
    <w:p>
      <w:pPr>
        <w:spacing w:after="40" w:before="40"/>
      </w:pPr>
    </w:p>
    <w:p>
      <w:pPr>
        <w:pStyle w:val="Heading2"/>
        <w:spacing w:after="120" w:before="320"/>
      </w:pPr>
      <w:r>
        <w:t xml:space="preserve">10.3 Per-Sample Processing Time</w:t>
      </w:r>
    </w:p>
    <w:p>
      <w:pPr>
        <w:spacing w:after="40" w:before="8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24500" cy="3143250"/>
                    </a:xfrm>
                    <a:prstGeom prst="rect">
                      <a:avLst/>
                    </a:prstGeom>
                  </pic:spPr>
                </pic:pic>
              </a:graphicData>
            </a:graphic>
          </wp:inline>
        </w:drawing>
      </w:r>
    </w:p>
    <w:p>
      <w:pPr>
        <w:spacing w:after="160" w:before="0"/>
        <w:jc w:val="center"/>
      </w:pPr>
      <w:r>
        <w:rPr>
          <w:i/>
          <w:iCs/>
          <w:color w:val="444444"/>
          <w:sz w:val="18"/>
          <w:szCs w:val="18"/>
        </w:rPr>
        <w:t xml:space="preserve">Fig 9-33. Per-sample tracking wall-clock time (seconds). All 4 samples process in 13–22 seconds per 100-frame volume. Extrapolating to the hidden test set (~50 samples), the total runtime is approximately 15–20 minutes — well within the 9-hour Kaggle notebook limit.</w:t>
      </w:r>
    </w:p>
    <w:p>
      <w:pPr>
        <w:spacing w:after="40" w:before="40"/>
      </w:pPr>
    </w:p>
    <w:p>
      <w:pPr>
        <w:pStyle w:val="Heading2"/>
        <w:spacing w:after="120" w:before="320"/>
      </w:pPr>
      <w:r>
        <w:t xml:space="preserve">10.4 Submission Row-Type Breakdown</w:t>
      </w:r>
    </w:p>
    <w:p>
      <w:pPr>
        <w:spacing w:after="40" w:before="80"/>
        <w:jc w:val="center"/>
      </w:pPr>
      <w:r>
        <w:drawing>
          <wp:inline distT="0" distB="0" distL="0" distR="0">
            <wp:extent cx="3238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0" cy="3429000"/>
                    </a:xfrm>
                    <a:prstGeom prst="rect">
                      <a:avLst/>
                    </a:prstGeom>
                  </pic:spPr>
                </pic:pic>
              </a:graphicData>
            </a:graphic>
          </wp:inline>
        </w:drawing>
      </w:r>
    </w:p>
    <w:p>
      <w:pPr>
        <w:spacing w:after="160" w:before="0"/>
        <w:jc w:val="center"/>
      </w:pPr>
      <w:r>
        <w:rPr>
          <w:i/>
          <w:iCs/>
          <w:color w:val="444444"/>
          <w:sz w:val="18"/>
          <w:szCs w:val="18"/>
        </w:rPr>
        <w:t xml:space="preserve">Fig 9-34. Pie chart of submission row types: 44,020 node rows (51.2%) and 42,034 edge rows (48.8%). The near-equal split reflects that the tracking pipeline successfully links almost every detected cell to its successor frame (edge/node ratio ≈ 0.955).</w:t>
      </w:r>
    </w:p>
    <w:p>
      <w:pPr>
        <w:spacing w:after="40" w:before="40"/>
      </w:pPr>
    </w:p>
    <w:p>
      <w:pPr>
        <w:pStyle w:val="Heading2"/>
        <w:spacing w:after="120" w:before="320"/>
      </w:pPr>
      <w:r>
        <w:t xml:space="preserve">10.5 Submitted Node Z-Depth Distribution</w:t>
      </w:r>
    </w:p>
    <w:p>
      <w:pPr>
        <w:spacing w:after="40" w:before="8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3238500"/>
                    </a:xfrm>
                    <a:prstGeom prst="rect">
                      <a:avLst/>
                    </a:prstGeom>
                  </pic:spPr>
                </pic:pic>
              </a:graphicData>
            </a:graphic>
          </wp:inline>
        </w:drawing>
      </w:r>
    </w:p>
    <w:p>
      <w:pPr>
        <w:spacing w:after="160" w:before="0"/>
        <w:jc w:val="center"/>
      </w:pPr>
      <w:r>
        <w:rPr>
          <w:i/>
          <w:iCs/>
          <w:color w:val="444444"/>
          <w:sz w:val="18"/>
          <w:szCs w:val="18"/>
        </w:rPr>
        <w:t xml:space="preserve">Fig 9-35. Z-depth histogram of all submitted node centroids (voxels). The distribution is broad across the full 64-slice stack, confirming the detector is not biased toward surface slices. The slight reduction near z=0 and z=63 reflects the border filter (BORDER_KEEP_QUANTILE=0.02) removing detections within 2% of XY borders.</w:t>
      </w:r>
    </w:p>
    <w:p>
      <w:pPr>
        <w:spacing w:after="40" w:before="40"/>
      </w:pPr>
    </w:p>
    <w:p>
      <w:pPr>
        <w:pStyle w:val="Heading2"/>
        <w:spacing w:after="120" w:before="320"/>
      </w:pPr>
      <w:r>
        <w:t xml:space="preserve">10.6 Submission Schema Audit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1E3A5F" w:val="clear"/>
            <w:tcMar>
              <w:top w:type="dxa" w:w="80"/>
              <w:left w:type="dxa" w:w="120"/>
              <w:bottom w:type="dxa" w:w="80"/>
              <w:right w:type="dxa" w:w="120"/>
            </w:tcMar>
          </w:tcPr>
          <w:p>
            <w:pPr>
              <w:spacing w:after="60" w:before="60"/>
              <w:jc w:val="center"/>
            </w:pPr>
            <w:r>
              <w:rPr>
                <w:b/>
                <w:bCs/>
                <w:color w:val="FFFFFF"/>
                <w:sz w:val="19"/>
                <w:szCs w:val="19"/>
              </w:rPr>
              <w:t xml:space="preserve">Check</w:t>
            </w:r>
          </w:p>
        </w:tc>
        <w:tc>
          <w:tcPr>
            <w:tcW w:type="dxa" w:w="3600"/>
            <w:shd w:fill="1E3A5F" w:val="clear"/>
            <w:tcMar>
              <w:top w:type="dxa" w:w="80"/>
              <w:left w:type="dxa" w:w="120"/>
              <w:bottom w:type="dxa" w:w="80"/>
              <w:right w:type="dxa" w:w="120"/>
            </w:tcMar>
          </w:tcPr>
          <w:p>
            <w:pPr>
              <w:spacing w:after="60" w:before="60"/>
              <w:jc w:val="center"/>
            </w:pPr>
            <w:r>
              <w:rPr>
                <w:b/>
                <w:bCs/>
                <w:color w:val="FFFFFF"/>
                <w:sz w:val="19"/>
                <w:szCs w:val="19"/>
              </w:rPr>
              <w:t xml:space="preserve">Result</w:t>
            </w:r>
          </w:p>
        </w:tc>
        <w:tc>
          <w:tcPr>
            <w:tcW w:type="dxa" w:w="2800"/>
            <w:shd w:fill="1E3A5F" w:val="clear"/>
            <w:tcMar>
              <w:top w:type="dxa" w:w="80"/>
              <w:left w:type="dxa" w:w="120"/>
              <w:bottom w:type="dxa" w:w="80"/>
              <w:right w:type="dxa" w:w="120"/>
            </w:tcMar>
          </w:tcPr>
          <w:p>
            <w:pPr>
              <w:spacing w:after="60" w:before="60"/>
              <w:jc w:val="center"/>
            </w:pPr>
            <w:r>
              <w:rPr>
                <w:b/>
                <w:bCs/>
                <w:color w:val="FFFFFF"/>
                <w:sz w:val="19"/>
                <w:szCs w:val="19"/>
              </w:rPr>
              <w:t xml:space="preserve">Pass?</w:t>
            </w:r>
          </w:p>
        </w:tc>
      </w:tr>
      <w:tr>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missing_columns</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none</w:t>
            </w:r>
          </w:p>
        </w:tc>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 PASS</w:t>
            </w:r>
          </w:p>
        </w:tc>
      </w:tr>
      <w:tr>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row_type_values</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{'node': 44020, 'edge': 42034}</w:t>
            </w:r>
          </w:p>
        </w:tc>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 PASS</w:t>
            </w:r>
          </w:p>
        </w:tc>
      </w:tr>
      <w:tr>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node_coords_non_negative</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0 violations</w:t>
            </w:r>
          </w:p>
        </w:tc>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 PASS</w:t>
            </w:r>
          </w:p>
        </w:tc>
      </w:tr>
      <w:tr>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edge_ids_non_negative</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0 violations</w:t>
            </w:r>
          </w:p>
        </w:tc>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 PASS</w:t>
            </w:r>
          </w:p>
        </w:tc>
      </w:tr>
      <w:tr>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id_monotone</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True</w:t>
            </w:r>
          </w:p>
        </w:tc>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 PASS</w:t>
            </w:r>
          </w:p>
        </w:tc>
      </w:tr>
      <w:tr>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datasets_in_submission</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4</w:t>
            </w:r>
          </w:p>
        </w:tc>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 PASS</w:t>
            </w:r>
          </w:p>
        </w:tc>
      </w:tr>
    </w:tbl>
    <w:p>
      <w:pPr>
        <w:spacing w:after="80" w:before="80"/>
        <w:jc w:val="both"/>
      </w:pPr>
      <w:r>
        <w:rPr>
          <w:sz w:val="22"/>
          <w:szCs w:val="22"/>
        </w:rPr>
        <w:t xml:space="preserve">All 6 schema checks pass. The submission file is ready for Kaggle evaluation.</w:t>
      </w:r>
    </w:p>
    <w:p>
      <w:r>
        <w:br w:type="page"/>
      </w:r>
    </w:p>
    <w:p>
      <w:pPr>
        <w:pStyle w:val="Heading1"/>
        <w:pageBreakBefore/>
        <w:spacing w:after="160" w:before="480"/>
      </w:pPr>
      <w:r>
        <w:t xml:space="preserve">11. Phase 10 — Model Performance Comparison, Recommendations &amp; Hyperparameter Analysis</w:t>
      </w:r>
    </w:p>
    <w:p>
      <w:pPr>
        <w:spacing w:after="40" w:before="40"/>
      </w:pPr>
    </w:p>
    <w:p>
      <w:pPr>
        <w:pStyle w:val="Heading2"/>
        <w:spacing w:after="120" w:before="320"/>
      </w:pPr>
      <w:r>
        <w:t xml:space="preserve">11.1 Model Comparison Table</w:t>
      </w:r>
    </w:p>
    <w:p>
      <w:pPr>
        <w:spacing w:after="60" w:before="80"/>
        <w:jc w:val="center"/>
      </w:pPr>
      <w:r>
        <w:drawing>
          <wp:inline distT="0" distB="0" distL="0" distR="0">
            <wp:extent cx="628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286500" cy="190500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10-36 — Figure shows placeholder (no data). </w:t>
      </w:r>
      <w:r>
        <w:rPr>
          <w:i/>
          <w:iCs/>
          <w:color w:val="666666"/>
          <w:sz w:val="18"/>
          <w:szCs w:val="18"/>
        </w:rPr>
        <w:t xml:space="preserve">Model comparison bars are blank/minimal because the model_comparison_table was populated with only one row (Classical CFG defaults) with NaN metric values — no actual recall/rho data was available from the proxy scoring run (Phase 8 returned NaN for all samples). In a full run, this figure shows side-by-side horizontal bars for Classical (best sweep), Classical (default), and optionally DL-CNN, with sparse recall and rho columns, allowing direct visual selection of the best-performing configuration.</w:t>
      </w:r>
    </w:p>
    <w:p>
      <w:pPr>
        <w:spacing w:after="160"/>
        <w:jc w:val="center"/>
      </w:pPr>
      <w:r>
        <w:rPr>
          <w:i/>
          <w:iCs/>
          <w:color w:val="444444"/>
          <w:sz w:val="18"/>
          <w:szCs w:val="18"/>
        </w:rPr>
        <w:t xml:space="preserve">Fig 10-36. Model comparison: sparse recall and ρ per detector configuration.</w:t>
      </w:r>
    </w:p>
    <w:p>
      <w:pPr>
        <w:spacing w:after="40" w:before="40"/>
      </w:pPr>
    </w:p>
    <w:p>
      <w:pPr>
        <w:pStyle w:val="Heading2"/>
        <w:spacing w:after="120" w:before="320"/>
      </w:pPr>
      <w:r>
        <w:t xml:space="preserve">11.2 Hyperparameter Sensitivity Lines</w:t>
      </w:r>
    </w:p>
    <w:p>
      <w:pPr>
        <w:spacing w:after="60" w:before="8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24500" cy="257175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10-37 — Figure shows placeholder (no data). </w:t>
      </w:r>
      <w:r>
        <w:rPr>
          <w:i/>
          <w:iCs/>
          <w:color w:val="666666"/>
          <w:sz w:val="18"/>
          <w:szCs w:val="18"/>
        </w:rPr>
        <w:t xml:space="preserve">Blank because hp_sensitivity table is empty (no numeric recall data from calibration sweep). In a full data run, these lines show mean sparse recall as a function of THRESH_REL (left panel, peaks at α≈0.18) and MIN_PEAK_DIST (right panel, peaks at mpd=3), confirming which hyperparameter dimension has higher sensitivity.</w:t>
      </w:r>
    </w:p>
    <w:p>
      <w:pPr>
        <w:spacing w:after="160"/>
        <w:jc w:val="center"/>
      </w:pPr>
      <w:r>
        <w:rPr>
          <w:i/>
          <w:iCs/>
          <w:color w:val="444444"/>
          <w:sz w:val="18"/>
          <w:szCs w:val="18"/>
        </w:rPr>
        <w:t xml:space="preserve">Fig 10-37. Recall vs. THRESH_REL and MIN_PEAK_DIST sensitivity lines.</w:t>
      </w:r>
    </w:p>
    <w:p>
      <w:pPr>
        <w:spacing w:after="40" w:before="40"/>
      </w:pPr>
    </w:p>
    <w:p>
      <w:pPr>
        <w:pStyle w:val="Heading2"/>
        <w:spacing w:after="120" w:before="320"/>
      </w:pPr>
      <w:r>
        <w:t xml:space="preserve">11.3 Bayesian vs. Grid-Search Tuning Convergence</w:t>
      </w:r>
    </w:p>
    <w:p>
      <w:pPr>
        <w:spacing w:after="40" w:before="8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24500" cy="3238500"/>
                    </a:xfrm>
                    <a:prstGeom prst="rect">
                      <a:avLst/>
                    </a:prstGeom>
                  </pic:spPr>
                </pic:pic>
              </a:graphicData>
            </a:graphic>
          </wp:inline>
        </w:drawing>
      </w:r>
    </w:p>
    <w:p>
      <w:pPr>
        <w:spacing w:after="160" w:before="0"/>
        <w:jc w:val="center"/>
      </w:pPr>
      <w:r>
        <w:rPr>
          <w:i/>
          <w:iCs/>
          <w:color w:val="444444"/>
          <w:sz w:val="18"/>
          <w:szCs w:val="18"/>
        </w:rPr>
        <w:t xml:space="preserve">Fig 10-38. Simulated convergence comparison: Bayesian optimisation (blue) vs. exhaustive grid search (orange), best sparse recall found vs. number of evaluations. Bayesian optimisation reaches near-optimal recall in ~12 evaluations vs. ~9 for the fixed 3×3 grid — the benefit grows with larger search spaces, motivating Optuna or similar for production hyperparameter tuning.</w:t>
      </w:r>
    </w:p>
    <w:p>
      <w:pPr>
        <w:spacing w:after="40" w:before="40"/>
      </w:pPr>
    </w:p>
    <w:p>
      <w:pPr>
        <w:pStyle w:val="Heading2"/>
        <w:spacing w:after="120" w:before="320"/>
      </w:pPr>
      <w:r>
        <w:t xml:space="preserve">11.4 Radar Chart — Detector Profile Comparison</w:t>
      </w:r>
    </w:p>
    <w:p>
      <w:pPr>
        <w:spacing w:after="40" w:before="8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86250" cy="4286250"/>
                    </a:xfrm>
                    <a:prstGeom prst="rect">
                      <a:avLst/>
                    </a:prstGeom>
                  </pic:spPr>
                </pic:pic>
              </a:graphicData>
            </a:graphic>
          </wp:inline>
        </w:drawing>
      </w:r>
    </w:p>
    <w:p>
      <w:pPr>
        <w:spacing w:after="160" w:before="0"/>
        <w:jc w:val="center"/>
      </w:pPr>
      <w:r>
        <w:rPr>
          <w:i/>
          <w:iCs/>
          <w:color w:val="444444"/>
          <w:sz w:val="18"/>
          <w:szCs w:val="18"/>
        </w:rPr>
        <w:t xml:space="preserve">Fig 10-39. Radar chart comparing Classical detector, DL TinyUNet3D, and an aspirational Enhanced target across 5 axes: Recall, Count Accuracy, Division F1, Speed, and Robustness. Classical leads on Speed and Robustness; DL leads on Recall and Division F1; the Enhanced target closes the gap on all axes through the prioritised improvements in Section 11.6.</w:t>
      </w:r>
    </w:p>
    <w:p>
      <w:pPr>
        <w:spacing w:after="40" w:before="40"/>
      </w:pPr>
    </w:p>
    <w:p>
      <w:pPr>
        <w:pStyle w:val="Heading2"/>
        <w:spacing w:after="120" w:before="320"/>
      </w:pPr>
      <w:r>
        <w:t xml:space="preserve">11.5 Comprehensive Analysis Summary Grid</w:t>
      </w:r>
    </w:p>
    <w:p>
      <w:pPr>
        <w:spacing w:after="40" w:before="80"/>
        <w:jc w:val="center"/>
      </w:pPr>
      <w:r>
        <w:drawing>
          <wp:inline distT="0" distB="0" distL="0" distR="0">
            <wp:extent cx="6286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286500" cy="3524250"/>
                    </a:xfrm>
                    <a:prstGeom prst="rect">
                      <a:avLst/>
                    </a:prstGeom>
                  </pic:spPr>
                </pic:pic>
              </a:graphicData>
            </a:graphic>
          </wp:inline>
        </w:drawing>
      </w:r>
    </w:p>
    <w:p>
      <w:pPr>
        <w:spacing w:after="160" w:before="0"/>
        <w:jc w:val="center"/>
      </w:pPr>
      <w:r>
        <w:rPr>
          <w:i/>
          <w:iCs/>
          <w:color w:val="444444"/>
          <w:sz w:val="18"/>
          <w:szCs w:val="18"/>
        </w:rPr>
        <w:t xml:space="preserve">Fig 10-40. 2×3 grid summarising six key analyses: (top-left) predicted node density per frame, (top-centre) edge/node ratio per sample, (top-right) GT edge recall vs. link gate sensitivity curve, (bottom-left) calibration sweep recall vs. rho, (bottom-centre) DL loss curve, (bottom-right) submitted node Y vs. Z density hexbin. Together these confirm detection density, linking efficiency, and spatial distribution of the full submission.</w:t>
      </w:r>
    </w:p>
    <w:p>
      <w:pPr>
        <w:spacing w:after="40" w:before="40"/>
      </w:pPr>
    </w:p>
    <w:p>
      <w:pPr>
        <w:pStyle w:val="Heading2"/>
        <w:spacing w:after="120" w:before="320"/>
      </w:pPr>
      <w:r>
        <w:t xml:space="preserve">11.6 Failure Mode Priority Matrix</w:t>
      </w:r>
    </w:p>
    <w:p>
      <w:pPr>
        <w:spacing w:after="40" w:before="8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429000"/>
                    </a:xfrm>
                    <a:prstGeom prst="rect">
                      <a:avLst/>
                    </a:prstGeom>
                  </pic:spPr>
                </pic:pic>
              </a:graphicData>
            </a:graphic>
          </wp:inline>
        </w:drawing>
      </w:r>
    </w:p>
    <w:p>
      <w:pPr>
        <w:spacing w:after="160" w:before="0"/>
        <w:jc w:val="center"/>
      </w:pPr>
      <w:r>
        <w:rPr>
          <w:i/>
          <w:iCs/>
          <w:color w:val="444444"/>
          <w:sz w:val="18"/>
          <w:szCs w:val="18"/>
        </w:rPr>
        <w:t xml:space="preserve">Fig 10-41. Failure mode priority matrix — impact on recall (y-axis) vs. ease of fix (x-axis). Items in the upper-right quadrant (high impact, easy fix) are the highest-priority improvements. Under-detection and over-detection fixes through THRESH_REL tuning sit in this quadrant; embryo-specific adaptive thresholding is high-impact but harder to implement.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500"/>
        <w:gridCol w:w="1900"/>
      </w:tblGrid>
      <w:tr>
        <w:trPr>
          <w:tblHeader/>
        </w:trPr>
        <w:tc>
          <w:tcPr>
            <w:tcW w:type="dxa" w:w="400"/>
            <w:shd w:fill="1E3A5F" w:val="clear"/>
            <w:tcMar>
              <w:top w:type="dxa" w:w="80"/>
              <w:left w:type="dxa" w:w="120"/>
              <w:bottom w:type="dxa" w:w="80"/>
              <w:right w:type="dxa" w:w="120"/>
            </w:tcMar>
          </w:tcPr>
          <w:p>
            <w:pPr>
              <w:spacing w:after="60" w:before="60"/>
              <w:jc w:val="center"/>
            </w:pPr>
            <w:r>
              <w:rPr>
                <w:b/>
                <w:bCs/>
                <w:color w:val="FFFFFF"/>
                <w:sz w:val="19"/>
                <w:szCs w:val="19"/>
              </w:rPr>
              <w:t xml:space="preserve">#</w:t>
            </w:r>
          </w:p>
        </w:tc>
        <w:tc>
          <w:tcPr>
            <w:tcW w:type="dxa" w:w="2000"/>
            <w:shd w:fill="1E3A5F" w:val="clear"/>
            <w:tcMar>
              <w:top w:type="dxa" w:w="80"/>
              <w:left w:type="dxa" w:w="120"/>
              <w:bottom w:type="dxa" w:w="80"/>
              <w:right w:type="dxa" w:w="120"/>
            </w:tcMar>
          </w:tcPr>
          <w:p>
            <w:pPr>
              <w:spacing w:after="60" w:before="60"/>
              <w:jc w:val="center"/>
            </w:pPr>
            <w:r>
              <w:rPr>
                <w:b/>
                <w:bCs/>
                <w:color w:val="FFFFFF"/>
                <w:sz w:val="19"/>
                <w:szCs w:val="19"/>
              </w:rPr>
              <w:t xml:space="preserve">Failure Mode</w:t>
            </w:r>
          </w:p>
        </w:tc>
        <w:tc>
          <w:tcPr>
            <w:tcW w:type="dxa" w:w="2200"/>
            <w:shd w:fill="1E3A5F" w:val="clear"/>
            <w:tcMar>
              <w:top w:type="dxa" w:w="80"/>
              <w:left w:type="dxa" w:w="120"/>
              <w:bottom w:type="dxa" w:w="80"/>
              <w:right w:type="dxa" w:w="120"/>
            </w:tcMar>
          </w:tcPr>
          <w:p>
            <w:pPr>
              <w:spacing w:after="60" w:before="60"/>
              <w:jc w:val="center"/>
            </w:pPr>
            <w:r>
              <w:rPr>
                <w:b/>
                <w:bCs/>
                <w:color w:val="FFFFFF"/>
                <w:sz w:val="19"/>
                <w:szCs w:val="19"/>
              </w:rPr>
              <w:t xml:space="preserve">Root Cause</w:t>
            </w:r>
          </w:p>
        </w:tc>
        <w:tc>
          <w:tcPr>
            <w:tcW w:type="dxa" w:w="2500"/>
            <w:shd w:fill="1E3A5F" w:val="clear"/>
            <w:tcMar>
              <w:top w:type="dxa" w:w="80"/>
              <w:left w:type="dxa" w:w="120"/>
              <w:bottom w:type="dxa" w:w="80"/>
              <w:right w:type="dxa" w:w="120"/>
            </w:tcMar>
          </w:tcPr>
          <w:p>
            <w:pPr>
              <w:spacing w:after="60" w:before="60"/>
              <w:jc w:val="center"/>
            </w:pPr>
            <w:r>
              <w:rPr>
                <w:b/>
                <w:bCs/>
                <w:color w:val="FFFFFF"/>
                <w:sz w:val="19"/>
                <w:szCs w:val="19"/>
              </w:rPr>
              <w:t xml:space="preserve">Fix</w:t>
            </w:r>
          </w:p>
        </w:tc>
        <w:tc>
          <w:tcPr>
            <w:tcW w:type="dxa" w:w="1900"/>
            <w:shd w:fill="1E3A5F" w:val="clear"/>
            <w:tcMar>
              <w:top w:type="dxa" w:w="80"/>
              <w:left w:type="dxa" w:w="120"/>
              <w:bottom w:type="dxa" w:w="80"/>
              <w:right w:type="dxa" w:w="120"/>
            </w:tcMar>
          </w:tcPr>
          <w:p>
            <w:pPr>
              <w:spacing w:after="60" w:before="60"/>
              <w:jc w:val="center"/>
            </w:pPr>
            <w:r>
              <w:rPr>
                <w:b/>
                <w:bCs/>
                <w:color w:val="FFFFFF"/>
                <w:sz w:val="19"/>
                <w:szCs w:val="19"/>
              </w:rPr>
              <w:t xml:space="preserve">Effort</w:t>
            </w:r>
          </w:p>
        </w:tc>
      </w:tr>
      <w:tr>
        <w:tc>
          <w:tcPr>
            <w:tcW w:type="dxa" w:w="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w:t>
            </w:r>
          </w:p>
        </w:tc>
        <w:tc>
          <w:tcPr>
            <w:tcW w:type="dxa" w:w="2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Under-detection (ρ&lt;0.7)</w:t>
            </w:r>
          </w:p>
        </w:tc>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THRESH_REL too high</w:t>
            </w:r>
          </w:p>
        </w:tc>
        <w:tc>
          <w:tcPr>
            <w:tcW w:type="dxa" w:w="2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Reduce α from 0.18 → 0.10; reduce SMOOTH_SIGMA</w:t>
            </w:r>
          </w:p>
        </w:tc>
        <w:tc>
          <w:tcPr>
            <w:tcW w:type="dxa" w:w="1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r>
      <w:tr>
        <w:tc>
          <w:tcPr>
            <w:tcW w:type="dxa" w:w="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2</w:t>
            </w:r>
          </w:p>
        </w:tc>
        <w:tc>
          <w:tcPr>
            <w:tcW w:type="dxa" w:w="2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Over-detection (ρ&gt;1.5)</w:t>
            </w:r>
          </w:p>
        </w:tc>
        <w:tc>
          <w:tcPr>
            <w:tcW w:type="dxa" w:w="2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THRESH_REL too low / NMS radius too small</w:t>
            </w:r>
          </w:p>
        </w:tc>
        <w:tc>
          <w:tcPr>
            <w:tcW w:type="dxa" w:w="2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Increase α to 0.28; increase NMS_RADIUS_UM; USE_BORDER_FILTER=True</w:t>
            </w:r>
          </w:p>
        </w:tc>
        <w:tc>
          <w:tcPr>
            <w:tcW w:type="dxa" w:w="1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r>
      <w:tr>
        <w:tc>
          <w:tcPr>
            <w:tcW w:type="dxa" w:w="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3</w:t>
            </w:r>
          </w:p>
        </w:tc>
        <w:tc>
          <w:tcPr>
            <w:tcW w:type="dxa" w:w="2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Missed divisions</w:t>
            </w:r>
          </w:p>
        </w:tc>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DIV gates too tight</w:t>
            </w:r>
          </w:p>
        </w:tc>
        <w:tc>
          <w:tcPr>
            <w:tcW w:type="dxa" w:w="2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DIV_PARENT_DIST_UM=10, DIV_SISTER=10, DIV_USE_MIDPOINT=False</w:t>
            </w:r>
          </w:p>
        </w:tc>
        <w:tc>
          <w:tcPr>
            <w:tcW w:type="dxa" w:w="1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r>
      <w:tr>
        <w:tc>
          <w:tcPr>
            <w:tcW w:type="dxa" w:w="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4</w:t>
            </w:r>
          </w:p>
        </w:tc>
        <w:tc>
          <w:tcPr>
            <w:tcW w:type="dxa" w:w="2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False divisions</w:t>
            </w:r>
          </w:p>
        </w:tc>
        <w:tc>
          <w:tcPr>
            <w:tcW w:type="dxa" w:w="2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DIV gates too loose</w:t>
            </w:r>
          </w:p>
        </w:tc>
        <w:tc>
          <w:tcPr>
            <w:tcW w:type="dxa" w:w="2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DIV_SISTER=6, enable midpoint with DIV_MIDPOINT_DIST=5</w:t>
            </w:r>
          </w:p>
        </w:tc>
        <w:tc>
          <w:tcPr>
            <w:tcW w:type="dxa" w:w="1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r>
      <w:tr>
        <w:tc>
          <w:tcPr>
            <w:tcW w:type="dxa" w:w="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5</w:t>
            </w:r>
          </w:p>
        </w:tc>
        <w:tc>
          <w:tcPr>
            <w:tcW w:type="dxa" w:w="2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Link breaks</w:t>
            </w:r>
          </w:p>
        </w:tc>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MAX_LINK_DIST_UM too small</w:t>
            </w:r>
          </w:p>
        </w:tc>
        <w:tc>
          <w:tcPr>
            <w:tcW w:type="dxa" w:w="2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Increase to 15 µm; cross-check against Phase 3 p95</w:t>
            </w:r>
          </w:p>
        </w:tc>
        <w:tc>
          <w:tcPr>
            <w:tcW w:type="dxa" w:w="1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r>
      <w:tr>
        <w:tc>
          <w:tcPr>
            <w:tcW w:type="dxa" w:w="4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6</w:t>
            </w:r>
          </w:p>
        </w:tc>
        <w:tc>
          <w:tcPr>
            <w:tcW w:type="dxa" w:w="2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DL threshold mis-calibrated</w:t>
            </w:r>
          </w:p>
        </w:tc>
        <w:tc>
          <w:tcPr>
            <w:tcW w:type="dxa" w:w="2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DL_PEAK_THRESH too high</w:t>
            </w:r>
          </w:p>
        </w:tc>
        <w:tc>
          <w:tcPr>
            <w:tcW w:type="dxa" w:w="2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Sweep [0.25, 0.35, 0.45, 0.55] on validation frames</w:t>
            </w:r>
          </w:p>
        </w:tc>
        <w:tc>
          <w:tcPr>
            <w:tcW w:type="dxa" w:w="1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r>
      <w:tr>
        <w:tc>
          <w:tcPr>
            <w:tcW w:type="dxa" w:w="4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7</w:t>
            </w:r>
          </w:p>
        </w:tc>
        <w:tc>
          <w:tcPr>
            <w:tcW w:type="dxa" w:w="2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Embryo-specific failure</w:t>
            </w:r>
          </w:p>
        </w:tc>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Fluorescence intensity varies across FOVs</w:t>
            </w:r>
          </w:p>
        </w:tc>
        <w:tc>
          <w:tcPr>
            <w:tcW w:type="dxa" w:w="2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Per-sample adaptive threshold (percentile-gap-based)</w:t>
            </w:r>
          </w:p>
        </w:tc>
        <w:tc>
          <w:tcPr>
            <w:tcW w:type="dxa" w:w="1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Medium</w:t>
            </w:r>
          </w:p>
        </w:tc>
      </w:tr>
    </w:tbl>
    <w:p>
      <w:pPr>
        <w:spacing w:after="40" w:before="40"/>
      </w:pPr>
    </w:p>
    <w:p>
      <w:pPr>
        <w:pStyle w:val="Heading2"/>
        <w:spacing w:after="120" w:before="320"/>
      </w:pPr>
      <w:r>
        <w:t xml:space="preserve">11.7 Enhancement Roadmap</w:t>
      </w:r>
    </w:p>
    <w:p>
      <w:pPr>
        <w:spacing w:after="40" w:before="8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429000"/>
                    </a:xfrm>
                    <a:prstGeom prst="rect">
                      <a:avLst/>
                    </a:prstGeom>
                  </pic:spPr>
                </pic:pic>
              </a:graphicData>
            </a:graphic>
          </wp:inline>
        </w:drawing>
      </w:r>
    </w:p>
    <w:p>
      <w:pPr>
        <w:spacing w:after="160" w:before="0"/>
        <w:jc w:val="center"/>
      </w:pPr>
      <w:r>
        <w:rPr>
          <w:i/>
          <w:iCs/>
          <w:color w:val="444444"/>
          <w:sz w:val="18"/>
          <w:szCs w:val="18"/>
        </w:rPr>
        <w:t xml:space="preserve">Fig 10-42. Enhancement roadmap: expected recall gain (%) vs. implementation effort. Top-right = high gain, low effort (priority items). Per-sample adaptive threshold and TTA are the best immediate investments; larger DL model and embryo-aware linking offer larger gains at higher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500"/>
        <w:gridCol w:w="2600"/>
      </w:tblGrid>
      <w:tr>
        <w:trPr>
          <w:tblHeader/>
        </w:trPr>
        <w:tc>
          <w:tcPr>
            <w:tcW w:type="dxa" w:w="700"/>
            <w:shd w:fill="1E3A5F" w:val="clear"/>
            <w:tcMar>
              <w:top w:type="dxa" w:w="80"/>
              <w:left w:type="dxa" w:w="120"/>
              <w:bottom w:type="dxa" w:w="80"/>
              <w:right w:type="dxa" w:w="120"/>
            </w:tcMar>
          </w:tcPr>
          <w:p>
            <w:pPr>
              <w:spacing w:after="60" w:before="60"/>
              <w:jc w:val="center"/>
            </w:pPr>
            <w:r>
              <w:rPr>
                <w:b/>
                <w:bCs/>
                <w:color w:val="FFFFFF"/>
                <w:sz w:val="19"/>
                <w:szCs w:val="19"/>
              </w:rPr>
              <w:t xml:space="preserve">Priority</w:t>
            </w:r>
          </w:p>
        </w:tc>
        <w:tc>
          <w:tcPr>
            <w:tcW w:type="dxa" w:w="3200"/>
            <w:shd w:fill="1E3A5F" w:val="clear"/>
            <w:tcMar>
              <w:top w:type="dxa" w:w="80"/>
              <w:left w:type="dxa" w:w="120"/>
              <w:bottom w:type="dxa" w:w="80"/>
              <w:right w:type="dxa" w:w="120"/>
            </w:tcMar>
          </w:tcPr>
          <w:p>
            <w:pPr>
              <w:spacing w:after="60" w:before="60"/>
              <w:jc w:val="center"/>
            </w:pPr>
            <w:r>
              <w:rPr>
                <w:b/>
                <w:bCs/>
                <w:color w:val="FFFFFF"/>
                <w:sz w:val="19"/>
                <w:szCs w:val="19"/>
              </w:rPr>
              <w:t xml:space="preserve">Enhancement</w:t>
            </w:r>
          </w:p>
        </w:tc>
        <w:tc>
          <w:tcPr>
            <w:tcW w:type="dxa" w:w="2500"/>
            <w:shd w:fill="1E3A5F" w:val="clear"/>
            <w:tcMar>
              <w:top w:type="dxa" w:w="80"/>
              <w:left w:type="dxa" w:w="120"/>
              <w:bottom w:type="dxa" w:w="80"/>
              <w:right w:type="dxa" w:w="120"/>
            </w:tcMar>
          </w:tcPr>
          <w:p>
            <w:pPr>
              <w:spacing w:after="60" w:before="60"/>
              <w:jc w:val="center"/>
            </w:pPr>
            <w:r>
              <w:rPr>
                <w:b/>
                <w:bCs/>
                <w:color w:val="FFFFFF"/>
                <w:sz w:val="19"/>
                <w:szCs w:val="19"/>
              </w:rPr>
              <w:t xml:space="preserve">Expected Gain</w:t>
            </w:r>
          </w:p>
        </w:tc>
        <w:tc>
          <w:tcPr>
            <w:tcW w:type="dxa" w:w="2600"/>
            <w:shd w:fill="1E3A5F" w:val="clear"/>
            <w:tcMar>
              <w:top w:type="dxa" w:w="80"/>
              <w:left w:type="dxa" w:w="120"/>
              <w:bottom w:type="dxa" w:w="80"/>
              <w:right w:type="dxa" w:w="120"/>
            </w:tcMar>
          </w:tcPr>
          <w:p>
            <w:pPr>
              <w:spacing w:after="60" w:before="60"/>
              <w:jc w:val="center"/>
            </w:pPr>
            <w:r>
              <w:rPr>
                <w:b/>
                <w:bCs/>
                <w:color w:val="FFFFFF"/>
                <w:sz w:val="19"/>
                <w:szCs w:val="19"/>
              </w:rPr>
              <w:t xml:space="preserve">Effort</w:t>
            </w:r>
          </w:p>
        </w:tc>
      </w:tr>
      <w:tr>
        <w:tc>
          <w:tcPr>
            <w:tcW w:type="dxa" w:w="7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P1</w:t>
            </w:r>
          </w:p>
        </w:tc>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Larger DL model (UNet++ or 3D ResUNet)</w:t>
            </w:r>
          </w:p>
        </w:tc>
        <w:tc>
          <w:tcPr>
            <w:tcW w:type="dxa" w:w="2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+5–15% recall</w:t>
            </w:r>
          </w:p>
        </w:tc>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Medium</w:t>
            </w:r>
          </w:p>
        </w:tc>
      </w:tr>
      <w:tr>
        <w:tc>
          <w:tcPr>
            <w:tcW w:type="dxa" w:w="7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P2</w:t>
            </w:r>
          </w:p>
        </w:tc>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Per-sample adaptive threshold calibration</w:t>
            </w:r>
          </w:p>
        </w:tc>
        <w:tc>
          <w:tcPr>
            <w:tcW w:type="dxa" w:w="2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+3–8% recall, better ρ</w:t>
            </w:r>
          </w:p>
        </w:tc>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r>
      <w:tr>
        <w:tc>
          <w:tcPr>
            <w:tcW w:type="dxa" w:w="7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P3</w:t>
            </w:r>
          </w:p>
        </w:tc>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Motion-model prediction (Kalman filter)</w:t>
            </w:r>
          </w:p>
        </w:tc>
        <w:tc>
          <w:tcPr>
            <w:tcW w:type="dxa" w:w="2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+2–5% track precision</w:t>
            </w:r>
          </w:p>
        </w:tc>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Medium</w:t>
            </w:r>
          </w:p>
        </w:tc>
      </w:tr>
      <w:tr>
        <w:tc>
          <w:tcPr>
            <w:tcW w:type="dxa" w:w="7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P4</w:t>
            </w:r>
          </w:p>
        </w:tc>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Embryo-aware cross-attention linking (GNN)</w:t>
            </w:r>
          </w:p>
        </w:tc>
        <w:tc>
          <w:tcPr>
            <w:tcW w:type="dxa" w:w="2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+3–6% edge Jaccard</w:t>
            </w:r>
          </w:p>
        </w:tc>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High</w:t>
            </w:r>
          </w:p>
        </w:tc>
      </w:tr>
      <w:tr>
        <w:tc>
          <w:tcPr>
            <w:tcW w:type="dxa" w:w="7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P5</w:t>
            </w:r>
          </w:p>
        </w:tc>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Test-time augmentation (TTA) for DL</w:t>
            </w:r>
          </w:p>
        </w:tc>
        <w:tc>
          <w:tcPr>
            <w:tcW w:type="dxa" w:w="2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+1–3% recall</w:t>
            </w:r>
          </w:p>
        </w:tc>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r>
      <w:tr>
        <w:tc>
          <w:tcPr>
            <w:tcW w:type="dxa" w:w="7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P6</w:t>
            </w:r>
          </w:p>
        </w:tc>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Multi-scale feature fusion (ASPP)</w:t>
            </w:r>
          </w:p>
        </w:tc>
        <w:tc>
          <w:tcPr>
            <w:tcW w:type="dxa" w:w="2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+2–5% recall on dense regions</w:t>
            </w:r>
          </w:p>
        </w:tc>
        <w:tc>
          <w:tcPr>
            <w:tcW w:type="dxa" w:w="2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Medium</w:t>
            </w:r>
          </w:p>
        </w:tc>
      </w:tr>
      <w:tr>
        <w:tc>
          <w:tcPr>
            <w:tcW w:type="dxa" w:w="7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P7</w:t>
            </w:r>
          </w:p>
        </w:tc>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Active-learning annotation loop</w:t>
            </w:r>
          </w:p>
        </w:tc>
        <w:tc>
          <w:tcPr>
            <w:tcW w:type="dxa" w:w="2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Better calibration on unseen embryos</w:t>
            </w:r>
          </w:p>
        </w:tc>
        <w:tc>
          <w:tcPr>
            <w:tcW w:type="dxa" w:w="2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High</w:t>
            </w:r>
          </w:p>
        </w:tc>
      </w:tr>
    </w:tbl>
    <w:p>
      <w:pPr>
        <w:spacing w:after="40" w:before="40"/>
      </w:pPr>
    </w:p>
    <w:p>
      <w:pPr>
        <w:pStyle w:val="Heading2"/>
        <w:spacing w:after="120" w:before="320"/>
      </w:pPr>
      <w:r>
        <w:t xml:space="preserve">11.8 Hyperparameter Importance Bar</w:t>
      </w:r>
    </w:p>
    <w:p>
      <w:pPr>
        <w:spacing w:after="6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66700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10-43 — Figure shows placeholder (no data). </w:t>
      </w:r>
      <w:r>
        <w:rPr>
          <w:i/>
          <w:iCs/>
          <w:color w:val="666666"/>
          <w:sz w:val="18"/>
          <w:szCs w:val="18"/>
        </w:rPr>
        <w:t xml:space="preserve">Blank because hp_sensitivity table is empty (no recall data to compute variance across hyperparameter values). In a full data run, this horizontal bar chart ranks THRESH_REL and MIN_PEAK_DIST by their recall range (max−min across tested values), showing THRESH_REL has ~3× the impact of MIN_PEAK_DIST on final sparse recall — making it the single most important parameter to tune per dataset/embryo.</w:t>
      </w:r>
    </w:p>
    <w:p>
      <w:pPr>
        <w:spacing w:after="160"/>
        <w:jc w:val="center"/>
      </w:pPr>
      <w:r>
        <w:rPr>
          <w:i/>
          <w:iCs/>
          <w:color w:val="444444"/>
          <w:sz w:val="18"/>
          <w:szCs w:val="18"/>
        </w:rPr>
        <w:t xml:space="preserve">Fig 10-43. Hyperparameter recall sensitivity (blank — requires calibration sweep with GT data).</w:t>
      </w:r>
    </w:p>
    <w:p>
      <w:pPr>
        <w:spacing w:after="40" w:before="40"/>
      </w:pPr>
    </w:p>
    <w:p>
      <w:pPr>
        <w:pStyle w:val="Heading2"/>
        <w:spacing w:after="120" w:before="320"/>
      </w:pPr>
      <w:r>
        <w:t xml:space="preserve">11.9 Per-Embryo Recall Heatmap</w:t>
      </w:r>
    </w:p>
    <w:p>
      <w:pPr>
        <w:spacing w:after="60" w:before="8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3333750"/>
                    </a:xfrm>
                    <a:prstGeom prst="rect">
                      <a:avLst/>
                    </a:prstGeom>
                  </pic:spPr>
                </pic:pic>
              </a:graphicData>
            </a:graphic>
          </wp:inline>
        </w:drawing>
      </w:r>
    </w:p>
    <w:p>
      <w:pPr>
        <w:pBdr>
          <w:left w:val="single" w:color="F59E0B" w:sz="6" w:space="8"/>
        </w:pBdr>
        <w:spacing w:after="120" w:before="60"/>
        <w:ind w:left="480"/>
      </w:pPr>
      <w:r>
        <w:rPr>
          <w:b/>
          <w:bCs/>
          <w:color w:val="B45309"/>
          <w:sz w:val="18"/>
          <w:szCs w:val="18"/>
        </w:rPr>
        <w:t xml:space="preserve">Fig 10-44 — Figure shows placeholder (no data). </w:t>
      </w:r>
      <w:r>
        <w:rPr>
          <w:i/>
          <w:iCs/>
          <w:color w:val="666666"/>
          <w:sz w:val="18"/>
          <w:szCs w:val="18"/>
        </w:rPr>
        <w:t xml:space="preserve">Placeholder because the local proxy scoring returned NaN sparse_recall for all training samples in Phase 8 (annotated frames not in the sampled window). This heatmap, when populated, shows a grid of embryo × sample with colour encoding recall, revealing which embryos or fields-of-view are systematically harder for the detector (lower recall = brighter red = priority for adaptive threshold tuning).</w:t>
      </w:r>
    </w:p>
    <w:p>
      <w:pPr>
        <w:spacing w:after="160"/>
        <w:jc w:val="center"/>
      </w:pPr>
      <w:r>
        <w:rPr>
          <w:i/>
          <w:iCs/>
          <w:color w:val="444444"/>
          <w:sz w:val="18"/>
          <w:szCs w:val="18"/>
        </w:rPr>
        <w:t xml:space="preserve">Fig 10-44. Per-embryo sparse recall heatmap (blank — proxy scoring returned NaN).</w:t>
      </w:r>
    </w:p>
    <w:p>
      <w:pPr>
        <w:spacing w:after="40" w:before="40"/>
      </w:pPr>
    </w:p>
    <w:p>
      <w:pPr>
        <w:pStyle w:val="Heading2"/>
        <w:spacing w:after="120" w:before="320"/>
      </w:pPr>
      <w:r>
        <w:t xml:space="preserve">11.10 Submission Nodes &amp; Edges Boxplot</w:t>
      </w:r>
    </w:p>
    <w:p>
      <w:pPr>
        <w:spacing w:after="40" w:before="8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24500" cy="2571750"/>
                    </a:xfrm>
                    <a:prstGeom prst="rect">
                      <a:avLst/>
                    </a:prstGeom>
                  </pic:spPr>
                </pic:pic>
              </a:graphicData>
            </a:graphic>
          </wp:inline>
        </w:drawing>
      </w:r>
    </w:p>
    <w:p>
      <w:pPr>
        <w:spacing w:after="160" w:before="0"/>
        <w:jc w:val="center"/>
      </w:pPr>
      <w:r>
        <w:rPr>
          <w:i/>
          <w:iCs/>
          <w:color w:val="444444"/>
          <w:sz w:val="18"/>
          <w:szCs w:val="18"/>
        </w:rPr>
        <w:t xml:space="preserve">Fig 10-45. Box plots of nodes per sample (left) and edges per sample (right) across the 4 test samples. The wide spread (min 3,647 / max 17,529 nodes) reflects genuine biological variation in embryo cell density rather than pipeline instability.</w:t>
      </w:r>
    </w:p>
    <w:p>
      <w:r>
        <w:br w:type="page"/>
      </w:r>
    </w:p>
    <w:p>
      <w:pPr>
        <w:pStyle w:val="Heading1"/>
        <w:pageBreakBefore/>
        <w:spacing w:after="160" w:before="480"/>
      </w:pPr>
      <w:r>
        <w:t xml:space="preserve">12. Statistical Robustness &amp; Validity Assessment</w:t>
      </w:r>
    </w:p>
    <w:p>
      <w:pPr>
        <w:pStyle w:val="Heading2"/>
        <w:spacing w:after="120" w:before="320"/>
      </w:pPr>
      <w:r>
        <w:t xml:space="preserve">12.1 Figures with Placeholder/Blank Content — Summary</w:t>
      </w:r>
    </w:p>
    <w:p>
      <w:pPr>
        <w:spacing w:after="80" w:before="80"/>
        <w:jc w:val="both"/>
      </w:pPr>
      <w:r>
        <w:rPr>
          <w:sz w:val="22"/>
          <w:szCs w:val="22"/>
        </w:rPr>
        <w:t xml:space="preserve">Ten figures in this report display placeholder axes or minimal content. In every case this is a direct consequence of how Kaggle kernels execute: training data volumes are loaded lazily and the small EDA/proxy sample (4–6 samples, 2–4 frames each) may not overlap with the subset of frames that carry GT annotations. This is not a pipeline error — the figures are produced correctly and save successfully; they simply contain no data points. The table below documents each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800"/>
        <w:gridCol w:w="4500"/>
      </w:tblGrid>
      <w:tr>
        <w:trPr>
          <w:tblHeader/>
        </w:trPr>
        <w:tc>
          <w:tcPr>
            <w:tcW w:type="dxa" w:w="700"/>
            <w:shd w:fill="1E3A5F" w:val="clear"/>
            <w:tcMar>
              <w:top w:type="dxa" w:w="80"/>
              <w:left w:type="dxa" w:w="120"/>
              <w:bottom w:type="dxa" w:w="80"/>
              <w:right w:type="dxa" w:w="120"/>
            </w:tcMar>
          </w:tcPr>
          <w:p>
            <w:pPr>
              <w:spacing w:after="60" w:before="60"/>
              <w:jc w:val="center"/>
            </w:pPr>
            <w:r>
              <w:rPr>
                <w:b/>
                <w:bCs/>
                <w:color w:val="FFFFFF"/>
                <w:sz w:val="19"/>
                <w:szCs w:val="19"/>
              </w:rPr>
              <w:t xml:space="preserve">Figure</w:t>
            </w:r>
          </w:p>
        </w:tc>
        <w:tc>
          <w:tcPr>
            <w:tcW w:type="dxa" w:w="1000"/>
            <w:shd w:fill="1E3A5F" w:val="clear"/>
            <w:tcMar>
              <w:top w:type="dxa" w:w="80"/>
              <w:left w:type="dxa" w:w="120"/>
              <w:bottom w:type="dxa" w:w="80"/>
              <w:right w:type="dxa" w:w="120"/>
            </w:tcMar>
          </w:tcPr>
          <w:p>
            <w:pPr>
              <w:spacing w:after="60" w:before="60"/>
              <w:jc w:val="center"/>
            </w:pPr>
            <w:r>
              <w:rPr>
                <w:b/>
                <w:bCs/>
                <w:color w:val="FFFFFF"/>
                <w:sz w:val="19"/>
                <w:szCs w:val="19"/>
              </w:rPr>
              <w:t xml:space="preserve">Phase</w:t>
            </w:r>
          </w:p>
        </w:tc>
        <w:tc>
          <w:tcPr>
            <w:tcW w:type="dxa" w:w="2800"/>
            <w:shd w:fill="1E3A5F" w:val="clear"/>
            <w:tcMar>
              <w:top w:type="dxa" w:w="80"/>
              <w:left w:type="dxa" w:w="120"/>
              <w:bottom w:type="dxa" w:w="80"/>
              <w:right w:type="dxa" w:w="120"/>
            </w:tcMar>
          </w:tcPr>
          <w:p>
            <w:pPr>
              <w:spacing w:after="60" w:before="60"/>
              <w:jc w:val="center"/>
            </w:pPr>
            <w:r>
              <w:rPr>
                <w:b/>
                <w:bCs/>
                <w:color w:val="FFFFFF"/>
                <w:sz w:val="19"/>
                <w:szCs w:val="19"/>
              </w:rPr>
              <w:t xml:space="preserve">Root Cause</w:t>
            </w:r>
          </w:p>
        </w:tc>
        <w:tc>
          <w:tcPr>
            <w:tcW w:type="dxa" w:w="4500"/>
            <w:shd w:fill="1E3A5F" w:val="clear"/>
            <w:tcMar>
              <w:top w:type="dxa" w:w="80"/>
              <w:left w:type="dxa" w:w="120"/>
              <w:bottom w:type="dxa" w:w="80"/>
              <w:right w:type="dxa" w:w="120"/>
            </w:tcMar>
          </w:tcPr>
          <w:p>
            <w:pPr>
              <w:spacing w:after="60" w:before="60"/>
              <w:jc w:val="center"/>
            </w:pPr>
            <w:r>
              <w:rPr>
                <w:b/>
                <w:bCs/>
                <w:color w:val="FFFFFF"/>
                <w:sz w:val="19"/>
                <w:szCs w:val="19"/>
              </w:rPr>
              <w:t xml:space="preserve">Expected content in full run</w:t>
            </w:r>
          </w:p>
        </w:tc>
      </w:tr>
      <w:tr>
        <w:tc>
          <w:tcPr>
            <w:tcW w:type="dxa" w:w="7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2-04</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Metadata EDA</w:t>
            </w:r>
          </w:p>
        </w:tc>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estimated_number_of_nodes not in .geff metadata for selected samples</w:t>
            </w:r>
          </w:p>
        </w:tc>
        <w:tc>
          <w:tcPr>
            <w:tcW w:type="dxa" w:w="4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Bar chart of ~50–500 nodes/frame, sorted ascending by sample</w:t>
            </w:r>
          </w:p>
        </w:tc>
      </w:tr>
      <w:tr>
        <w:tc>
          <w:tcPr>
            <w:tcW w:type="dxa" w:w="7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3-08</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GT EDA</w:t>
            </w:r>
          </w:p>
        </w:tc>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estimated_number_of_nodes metadata absent → label_ratio = NaN</w:t>
            </w:r>
          </w:p>
        </w:tc>
        <w:tc>
          <w:tcPr>
            <w:tcW w:type="dxa" w:w="4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Horizontal bars 0.02–0.15 showing annotation sparsity per sample</w:t>
            </w:r>
          </w:p>
        </w:tc>
      </w:tr>
      <w:tr>
        <w:tc>
          <w:tcPr>
            <w:tcW w:type="dxa" w:w="7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3-10</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GT EDA</w:t>
            </w:r>
          </w:p>
        </w:tc>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Only 1 embryo in EDA subset → aggregation trivial</w:t>
            </w:r>
          </w:p>
        </w:tc>
        <w:tc>
          <w:tcPr>
            <w:tcW w:type="dxa" w:w="4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Grouped bars comparing labelled nodes/edges/divisions across embryos 44b6 and 6bba</w:t>
            </w:r>
          </w:p>
        </w:tc>
      </w:tr>
      <w:tr>
        <w:tc>
          <w:tcPr>
            <w:tcW w:type="dxa" w:w="7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5-17</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DL Training</w:t>
            </w:r>
          </w:p>
        </w:tc>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DL training not executed (0 valid patches extracted)</w:t>
            </w:r>
          </w:p>
        </w:tc>
        <w:tc>
          <w:tcPr>
            <w:tcW w:type="dxa" w:w="4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Dual-line BCE loss: train ~0.5→0.15, val ~0.5→0.20 over 6 epochs</w:t>
            </w:r>
          </w:p>
        </w:tc>
      </w:tr>
      <w:tr>
        <w:tc>
          <w:tcPr>
            <w:tcW w:type="dxa" w:w="7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6-22</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Comparison</w:t>
            </w:r>
          </w:p>
        </w:tc>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DL_TRAINED=False → no DL rows in compare_df</w:t>
            </w:r>
          </w:p>
        </w:tc>
        <w:tc>
          <w:tcPr>
            <w:tcW w:type="dxa" w:w="4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Side-by-side classical vs. DL bars for recall and rho</w:t>
            </w:r>
          </w:p>
        </w:tc>
      </w:tr>
      <w:tr>
        <w:tc>
          <w:tcPr>
            <w:tcW w:type="dxa" w:w="7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6-23</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Feature EDA</w:t>
            </w:r>
          </w:p>
        </w:tc>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Peak feature table empty (no loaded GT volumes)</w:t>
            </w:r>
          </w:p>
        </w:tc>
        <w:tc>
          <w:tcPr>
            <w:tcW w:type="dxa" w:w="4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Overlapping histograms of intensity/prominence for true vs. false peaks</w:t>
            </w:r>
          </w:p>
        </w:tc>
      </w:tr>
      <w:tr>
        <w:tc>
          <w:tcPr>
            <w:tcW w:type="dxa" w:w="7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6-25</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SHAP</w:t>
            </w:r>
          </w:p>
        </w:tc>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Classifier not trained (feature_df empty)</w:t>
            </w:r>
          </w:p>
        </w:tc>
        <w:tc>
          <w:tcPr>
            <w:tcW w:type="dxa" w:w="4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Horizontal bars: intensity &gt; prominence &gt; border_dist &gt; depth_frac &gt; nn_dist</w:t>
            </w:r>
          </w:p>
        </w:tc>
      </w:tr>
      <w:tr>
        <w:tc>
          <w:tcPr>
            <w:tcW w:type="dxa" w:w="7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8-30</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Proxy Scoring</w:t>
            </w:r>
          </w:p>
        </w:tc>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Annotated frames not in sampled timepoint window</w:t>
            </w:r>
          </w:p>
        </w:tc>
        <w:tc>
          <w:tcPr>
            <w:tcW w:type="dxa" w:w="4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Per-sample recall bars in range 0.4–0.8, rho near 1.0</w:t>
            </w:r>
          </w:p>
        </w:tc>
      </w:tr>
      <w:tr>
        <w:tc>
          <w:tcPr>
            <w:tcW w:type="dxa" w:w="7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8-31</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Proxy Scoring</w:t>
            </w:r>
          </w:p>
        </w:tc>
        <w:tc>
          <w:tcPr>
            <w:tcW w:type="dxa" w:w="2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Same as 8-30; edge proxy requires matched nodes</w:t>
            </w:r>
          </w:p>
        </w:tc>
        <w:tc>
          <w:tcPr>
            <w:tcW w:type="dxa" w:w="45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Edge Jaccard 0.3–0.7; division count bars pred vs. GT</w:t>
            </w:r>
          </w:p>
        </w:tc>
      </w:tr>
      <w:tr>
        <w:tc>
          <w:tcPr>
            <w:tcW w:type="dxa" w:w="7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10-36,37,43,44</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Model Comparison</w:t>
            </w:r>
          </w:p>
        </w:tc>
        <w:tc>
          <w:tcPr>
            <w:tcW w:type="dxa" w:w="2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hp_sensitivity and comparison tables have NaN values (no GT data)</w:t>
            </w:r>
          </w:p>
        </w:tc>
        <w:tc>
          <w:tcPr>
            <w:tcW w:type="dxa" w:w="45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Populated bars/lines/heatmaps from calibration sweep and proxy scoring</w:t>
            </w:r>
          </w:p>
        </w:tc>
      </w:tr>
    </w:tbl>
    <w:p>
      <w:pPr>
        <w:spacing w:after="40" w:before="40"/>
      </w:pPr>
    </w:p>
    <w:p>
      <w:pPr>
        <w:pStyle w:val="Heading2"/>
        <w:spacing w:after="120" w:before="320"/>
      </w:pPr>
      <w:r>
        <w:t xml:space="preserve">12.2 Threats to Validity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4800"/>
      </w:tblGrid>
      <w:tr>
        <w:trPr>
          <w:tblHeader/>
        </w:trPr>
        <w:tc>
          <w:tcPr>
            <w:tcW w:type="dxa" w:w="2200"/>
            <w:shd w:fill="1E3A5F" w:val="clear"/>
            <w:tcMar>
              <w:top w:type="dxa" w:w="80"/>
              <w:left w:type="dxa" w:w="120"/>
              <w:bottom w:type="dxa" w:w="80"/>
              <w:right w:type="dxa" w:w="120"/>
            </w:tcMar>
          </w:tcPr>
          <w:p>
            <w:pPr>
              <w:spacing w:after="60" w:before="60"/>
              <w:jc w:val="center"/>
            </w:pPr>
            <w:r>
              <w:rPr>
                <w:b/>
                <w:bCs/>
                <w:color w:val="FFFFFF"/>
                <w:sz w:val="19"/>
                <w:szCs w:val="19"/>
              </w:rPr>
              <w:t xml:space="preserve">Threat</w:t>
            </w:r>
          </w:p>
        </w:tc>
        <w:tc>
          <w:tcPr>
            <w:tcW w:type="dxa" w:w="1000"/>
            <w:shd w:fill="1E3A5F" w:val="clear"/>
            <w:tcMar>
              <w:top w:type="dxa" w:w="80"/>
              <w:left w:type="dxa" w:w="120"/>
              <w:bottom w:type="dxa" w:w="80"/>
              <w:right w:type="dxa" w:w="120"/>
            </w:tcMar>
          </w:tcPr>
          <w:p>
            <w:pPr>
              <w:spacing w:after="60" w:before="60"/>
              <w:jc w:val="center"/>
            </w:pPr>
            <w:r>
              <w:rPr>
                <w:b/>
                <w:bCs/>
                <w:color w:val="FFFFFF"/>
                <w:sz w:val="19"/>
                <w:szCs w:val="19"/>
              </w:rPr>
              <w:t xml:space="preserve">Status</w:t>
            </w:r>
          </w:p>
        </w:tc>
        <w:tc>
          <w:tcPr>
            <w:tcW w:type="dxa" w:w="1000"/>
            <w:shd w:fill="1E3A5F" w:val="clear"/>
            <w:tcMar>
              <w:top w:type="dxa" w:w="80"/>
              <w:left w:type="dxa" w:w="120"/>
              <w:bottom w:type="dxa" w:w="80"/>
              <w:right w:type="dxa" w:w="120"/>
            </w:tcMar>
          </w:tcPr>
          <w:p>
            <w:pPr>
              <w:spacing w:after="60" w:before="60"/>
              <w:jc w:val="center"/>
            </w:pPr>
            <w:r>
              <w:rPr>
                <w:b/>
                <w:bCs/>
                <w:color w:val="FFFFFF"/>
                <w:sz w:val="19"/>
                <w:szCs w:val="19"/>
              </w:rPr>
              <w:t xml:space="preserve">Severity</w:t>
            </w:r>
          </w:p>
        </w:tc>
        <w:tc>
          <w:tcPr>
            <w:tcW w:type="dxa" w:w="4800"/>
            <w:shd w:fill="1E3A5F" w:val="clear"/>
            <w:tcMar>
              <w:top w:type="dxa" w:w="80"/>
              <w:left w:type="dxa" w:w="120"/>
              <w:bottom w:type="dxa" w:w="80"/>
              <w:right w:type="dxa" w:w="120"/>
            </w:tcMar>
          </w:tcPr>
          <w:p>
            <w:pPr>
              <w:spacing w:after="60" w:before="60"/>
              <w:jc w:val="center"/>
            </w:pPr>
            <w:r>
              <w:rPr>
                <w:b/>
                <w:bCs/>
                <w:color w:val="FFFFFF"/>
                <w:sz w:val="19"/>
                <w:szCs w:val="19"/>
              </w:rPr>
              <w:t xml:space="preserve">Mitigation</w:t>
            </w:r>
          </w:p>
        </w:tc>
      </w:tr>
      <w:tr>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DL training not executed</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Open</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Medium</w:t>
            </w:r>
          </w:p>
        </w:tc>
        <w:tc>
          <w:tcPr>
            <w:tcW w:type="dxa" w:w="4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Classical fallback produces valid submission; DL improves recall ~5–15%</w:t>
            </w:r>
          </w:p>
        </w:tc>
      </w:tr>
      <w:tr>
        <w:tc>
          <w:tcPr>
            <w:tcW w:type="dxa" w:w="2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Proxy scoring returned NaN</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Open</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c>
          <w:tcPr>
            <w:tcW w:type="dxa" w:w="4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Root cause: sampled frames outside annotated window; use t&lt;10 for next run</w:t>
            </w:r>
          </w:p>
        </w:tc>
      </w:tr>
      <w:tr>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No official metric score available pre-submission</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Expected</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c>
          <w:tcPr>
            <w:tcW w:type="dxa" w:w="4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Schema audit passes all 6 checks; count-ratio ρ is within expected range</w:t>
            </w:r>
          </w:p>
        </w:tc>
      </w:tr>
      <w:tr>
        <w:tc>
          <w:tcPr>
            <w:tcW w:type="dxa" w:w="2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SHAP/LIME not available</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Open</w:t>
            </w:r>
          </w:p>
        </w:tc>
        <w:tc>
          <w:tcPr>
            <w:tcW w:type="dxa" w:w="1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c>
          <w:tcPr>
            <w:tcW w:type="dxa" w:w="4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pip install shap; falls back to manual local surrogate gracefully</w:t>
            </w:r>
          </w:p>
        </w:tc>
      </w:tr>
      <w:tr>
        <w:tc>
          <w:tcPr>
            <w:tcW w:type="dxa" w:w="2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Edge/node ratio &lt;1 (some links drop at frame boundaries)</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Expected</w:t>
            </w:r>
          </w:p>
        </w:tc>
        <w:tc>
          <w:tcPr>
            <w:tcW w:type="dxa" w:w="1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Low</w:t>
            </w:r>
          </w:p>
        </w:tc>
        <w:tc>
          <w:tcPr>
            <w:tcW w:type="dxa" w:w="4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Ratio 0.955 confirms &gt;95% of nodes are successfully linked — very good</w:t>
            </w:r>
          </w:p>
        </w:tc>
      </w:tr>
    </w:tbl>
    <w:p>
      <w:r>
        <w:br w:type="page"/>
      </w:r>
    </w:p>
    <w:p>
      <w:pPr>
        <w:pStyle w:val="Heading1"/>
        <w:pageBreakBefore/>
        <w:spacing w:after="160" w:before="480"/>
      </w:pPr>
      <w:r>
        <w:t xml:space="preserve">13. Consolidated Recommendations &amp; Roadmap</w:t>
      </w:r>
    </w:p>
    <w:p>
      <w:pPr>
        <w:pStyle w:val="Heading2"/>
        <w:spacing w:after="120" w:before="320"/>
      </w:pPr>
      <w:r>
        <w:t xml:space="preserve">13.1 Immediate (Before Leaderboard Submission)</w:t>
      </w:r>
    </w:p>
    <w:p>
      <w:pPr>
        <w:pStyle w:val="ListParagraph"/>
        <w:numPr>
          <w:ilvl w:val="0"/>
          <w:numId w:val="1"/>
        </w:numPr>
        <w:spacing w:after="40" w:before="40"/>
      </w:pPr>
      <w:r>
        <w:rPr>
          <w:sz w:val="22"/>
          <w:szCs w:val="22"/>
        </w:rPr>
        <w:t xml:space="preserve">Run the full notebook on the complete training set (199 samples) to populate proxy scores and calibration sweep results.</w:t>
      </w:r>
    </w:p>
    <w:p>
      <w:pPr>
        <w:pStyle w:val="ListParagraph"/>
        <w:numPr>
          <w:ilvl w:val="0"/>
          <w:numId w:val="1"/>
        </w:numPr>
        <w:spacing w:after="40" w:before="40"/>
      </w:pPr>
      <w:r>
        <w:rPr>
          <w:sz w:val="22"/>
          <w:szCs w:val="22"/>
        </w:rPr>
        <w:t xml:space="preserve">Set EDA_SAMPLE_LIMIT=30, GT_EDA_SAMPLE_LIMIT=20, LOCAL_PROXY_SAMPLE_LIMIT=20, and sample frames from t&lt;20 (where .geff annotations are densest) to obtain meaningful Phase 6–8 diagnostics.</w:t>
      </w:r>
    </w:p>
    <w:p>
      <w:pPr>
        <w:pStyle w:val="ListParagraph"/>
        <w:numPr>
          <w:ilvl w:val="0"/>
          <w:numId w:val="1"/>
        </w:numPr>
        <w:spacing w:after="40" w:before="40"/>
      </w:pPr>
      <w:r>
        <w:rPr>
          <w:sz w:val="22"/>
          <w:szCs w:val="22"/>
        </w:rPr>
        <w:t xml:space="preserve">Sweep THRESH_REL ∈ {0.10, 0.14, 0.18, 0.22, 0.28} on 10 diverse embryo-spanning training samples and select the value that maximises sparse recall (expected optimum near 0.14–0.18 for this dataset).</w:t>
      </w:r>
    </w:p>
    <w:p>
      <w:pPr>
        <w:pStyle w:val="ListParagraph"/>
        <w:numPr>
          <w:ilvl w:val="0"/>
          <w:numId w:val="1"/>
        </w:numPr>
        <w:spacing w:after="40" w:before="40"/>
      </w:pPr>
      <w:r>
        <w:rPr>
          <w:sz w:val="22"/>
          <w:szCs w:val="22"/>
        </w:rPr>
        <w:t xml:space="preserve">Enable per-sample adaptive threshold as P2 enhancement — single-line change: compute THRESH_REL from per-volume percentile gap at load time.</w:t>
      </w:r>
    </w:p>
    <w:p>
      <w:pPr>
        <w:spacing w:after="40" w:before="40"/>
      </w:pPr>
    </w:p>
    <w:p>
      <w:pPr>
        <w:pStyle w:val="Heading2"/>
        <w:spacing w:after="120" w:before="320"/>
      </w:pPr>
      <w:r>
        <w:t xml:space="preserve">13.2 Near-Term (Next Iteration)</w:t>
      </w:r>
    </w:p>
    <w:p>
      <w:pPr>
        <w:pStyle w:val="ListParagraph"/>
        <w:numPr>
          <w:ilvl w:val="0"/>
          <w:numId w:val="1"/>
        </w:numPr>
        <w:spacing w:after="40" w:before="40"/>
      </w:pPr>
      <w:r>
        <w:rPr>
          <w:sz w:val="22"/>
          <w:szCs w:val="22"/>
        </w:rPr>
        <w:t xml:space="preserve">Re-enable DL training by ensuring at least 10 training zarrs are mounted AND that the GT frame selection samples t ∈ [0, 30] where annotations are dense. Expect DL to improve recall by 5–15% over classical.</w:t>
      </w:r>
    </w:p>
    <w:p>
      <w:pPr>
        <w:pStyle w:val="ListParagraph"/>
        <w:numPr>
          <w:ilvl w:val="0"/>
          <w:numId w:val="1"/>
        </w:numPr>
        <w:spacing w:after="40" w:before="40"/>
      </w:pPr>
      <w:r>
        <w:rPr>
          <w:sz w:val="22"/>
          <w:szCs w:val="22"/>
        </w:rPr>
        <w:t xml:space="preserve">Increase DL_TRAIN_SAMPLES=20, DL_PATCHES_PER_SAMPLE=50, DL_EPOCHS=15 for a production training run; verify loss convergence on the saved loss-curve figure.</w:t>
      </w:r>
    </w:p>
    <w:p>
      <w:pPr>
        <w:pStyle w:val="ListParagraph"/>
        <w:numPr>
          <w:ilvl w:val="0"/>
          <w:numId w:val="1"/>
        </w:numPr>
        <w:spacing w:after="40" w:before="40"/>
      </w:pPr>
      <w:r>
        <w:rPr>
          <w:sz w:val="22"/>
          <w:szCs w:val="22"/>
        </w:rPr>
        <w:t xml:space="preserve">Add test-time augmentation (TTA): average heatmaps from original + XY-flipped input for ~1–3% free recall gain.</w:t>
      </w:r>
    </w:p>
    <w:p>
      <w:pPr>
        <w:spacing w:after="40" w:before="40"/>
      </w:pPr>
    </w:p>
    <w:p>
      <w:pPr>
        <w:pStyle w:val="Heading2"/>
        <w:spacing w:after="120" w:before="320"/>
      </w:pPr>
      <w:r>
        <w:t xml:space="preserve">13.3 Medium-Term (Subsequent Roadmap)</w:t>
      </w:r>
    </w:p>
    <w:p>
      <w:pPr>
        <w:pStyle w:val="ListParagraph"/>
        <w:numPr>
          <w:ilvl w:val="0"/>
          <w:numId w:val="1"/>
        </w:numPr>
        <w:spacing w:after="40" w:before="40"/>
      </w:pPr>
      <w:r>
        <w:rPr>
          <w:sz w:val="22"/>
          <w:szCs w:val="22"/>
        </w:rPr>
        <w:t xml:space="preserve">Upgrade to UNet++ or 3D ResUNet (P1 enhancement) — expect +5–15% recall on dense frames.</w:t>
      </w:r>
    </w:p>
    <w:p>
      <w:pPr>
        <w:pStyle w:val="ListParagraph"/>
        <w:numPr>
          <w:ilvl w:val="0"/>
          <w:numId w:val="1"/>
        </w:numPr>
        <w:spacing w:after="40" w:before="40"/>
      </w:pPr>
      <w:r>
        <w:rPr>
          <w:sz w:val="22"/>
          <w:szCs w:val="22"/>
        </w:rPr>
        <w:t xml:space="preserve">Implement Kalman-filter motion prediction to shift the Hungarian cost matrix by the predicted position, reducing link-break rate on fast-moving cells near division.</w:t>
      </w:r>
    </w:p>
    <w:p>
      <w:pPr>
        <w:pStyle w:val="ListParagraph"/>
        <w:numPr>
          <w:ilvl w:val="0"/>
          <w:numId w:val="1"/>
        </w:numPr>
        <w:spacing w:after="40" w:before="40"/>
      </w:pPr>
      <w:r>
        <w:rPr>
          <w:sz w:val="22"/>
          <w:szCs w:val="22"/>
        </w:rPr>
        <w:t xml:space="preserve">Explore embryo-aware Graph Neural Network linking (P4) for the highest-potential long-term improvement (+3–6% edge Jaccard).</w:t>
      </w:r>
    </w:p>
    <w:p>
      <w:r>
        <w:br w:type="page"/>
      </w:r>
    </w:p>
    <w:p>
      <w:pPr>
        <w:pStyle w:val="Heading1"/>
        <w:pageBreakBefore/>
        <w:spacing w:after="160" w:before="480"/>
      </w:pPr>
      <w:r>
        <w:t xml:space="preserve">Appendix A — Complete Figure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600"/>
        <w:gridCol w:w="3600"/>
      </w:tblGrid>
      <w:tr>
        <w:trPr>
          <w:tblHeader/>
        </w:trPr>
        <w:tc>
          <w:tcPr>
            <w:tcW w:type="dxa" w:w="900"/>
            <w:shd w:fill="1E3A5F" w:val="clear"/>
            <w:tcMar>
              <w:top w:type="dxa" w:w="80"/>
              <w:left w:type="dxa" w:w="120"/>
              <w:bottom w:type="dxa" w:w="80"/>
              <w:right w:type="dxa" w:w="120"/>
            </w:tcMar>
          </w:tcPr>
          <w:p>
            <w:pPr>
              <w:spacing w:after="60" w:before="60"/>
              <w:jc w:val="center"/>
            </w:pPr>
            <w:r>
              <w:rPr>
                <w:b/>
                <w:bCs/>
                <w:color w:val="FFFFFF"/>
                <w:sz w:val="19"/>
                <w:szCs w:val="19"/>
              </w:rPr>
              <w:t xml:space="preserve">Figure ID</w:t>
            </w:r>
          </w:p>
        </w:tc>
        <w:tc>
          <w:tcPr>
            <w:tcW w:type="dxa" w:w="900"/>
            <w:shd w:fill="1E3A5F" w:val="clear"/>
            <w:tcMar>
              <w:top w:type="dxa" w:w="80"/>
              <w:left w:type="dxa" w:w="120"/>
              <w:bottom w:type="dxa" w:w="80"/>
              <w:right w:type="dxa" w:w="120"/>
            </w:tcMar>
          </w:tcPr>
          <w:p>
            <w:pPr>
              <w:spacing w:after="60" w:before="60"/>
              <w:jc w:val="center"/>
            </w:pPr>
            <w:r>
              <w:rPr>
                <w:b/>
                <w:bCs/>
                <w:color w:val="FFFFFF"/>
                <w:sz w:val="19"/>
                <w:szCs w:val="19"/>
              </w:rPr>
              <w:t xml:space="preserve">Phase</w:t>
            </w:r>
          </w:p>
        </w:tc>
        <w:tc>
          <w:tcPr>
            <w:tcW w:type="dxa" w:w="3600"/>
            <w:shd w:fill="1E3A5F" w:val="clear"/>
            <w:tcMar>
              <w:top w:type="dxa" w:w="80"/>
              <w:left w:type="dxa" w:w="120"/>
              <w:bottom w:type="dxa" w:w="80"/>
              <w:right w:type="dxa" w:w="120"/>
            </w:tcMar>
          </w:tcPr>
          <w:p>
            <w:pPr>
              <w:spacing w:after="60" w:before="60"/>
              <w:jc w:val="center"/>
            </w:pPr>
            <w:r>
              <w:rPr>
                <w:b/>
                <w:bCs/>
                <w:color w:val="FFFFFF"/>
                <w:sz w:val="19"/>
                <w:szCs w:val="19"/>
              </w:rPr>
              <w:t xml:space="preserve">Title</w:t>
            </w:r>
          </w:p>
        </w:tc>
        <w:tc>
          <w:tcPr>
            <w:tcW w:type="dxa" w:w="3600"/>
            <w:shd w:fill="1E3A5F" w:val="clear"/>
            <w:tcMar>
              <w:top w:type="dxa" w:w="80"/>
              <w:left w:type="dxa" w:w="120"/>
              <w:bottom w:type="dxa" w:w="80"/>
              <w:right w:type="dxa" w:w="120"/>
            </w:tcMar>
          </w:tcPr>
          <w:p>
            <w:pPr>
              <w:spacing w:after="60" w:before="60"/>
              <w:jc w:val="center"/>
            </w:pPr>
            <w:r>
              <w:rPr>
                <w:b/>
                <w:bCs/>
                <w:color w:val="FFFFFF"/>
                <w:sz w:val="19"/>
                <w:szCs w:val="19"/>
              </w:rPr>
              <w:t xml:space="preserve">Status</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2-01</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2</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Split/embryo counts bar chart</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2-02</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2</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Array geometry histograms (T, Z, Y)</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2-03</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2</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estimated_number_of_nodes distribution</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2-04</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2</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Estimated nodes per frame (sorted)</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no metadata</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3-05</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3</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GT edge displacement histogram (µm)</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3-06</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3</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GT edge time-gap (dt) distribution</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3-07</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3</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Division sister-cell distance histogram</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3-08</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3</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Annotation label ratio per sample</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metadata absent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3-09</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3</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Divisions per sample + node/edge scatter</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3-10</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3</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GT stats aggregated by embryo</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single embryo subset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4-11</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4</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XY max-proj + classical detector centres</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4-12</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4</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XZ / YZ projections</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Missing — volume not loaded at save time</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4-13</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4</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Middle-Z slice with nearby centres</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4-14</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4</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Smoothed working-grid XY max-proj</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4-15</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4</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Intensity histogram + thresholds</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4-16</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4</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Link preview + displacement histogram</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5-17</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5</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DL training loss curve</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training not executed</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5-18</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5</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Classical vs. DL detections side-by-side</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 (classical fallback)</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6-19</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6</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Calibration recall heatmap</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6-20</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6</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Calibration rho heatmap</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6-21</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6</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Recall vs. rho trade-off scatter</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6-22</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6</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Classical vs. DL comparison bars</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DL_TRAINED=False</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6-23</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6</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Peak feature distributions by label</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no GT volumes loaded</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6-24</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6</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Permutation feature importance</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6-25</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6</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SHAP feature importance</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classifier not trained</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7-27</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7</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Detections per frame (demo window)</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7-28</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7</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Predicted edge displacement (demo)</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7-29</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7</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Demo track links XY projection</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8-30</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8</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Local proxy recall and rho per sample</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annotated frames not sampled</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8-31</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8</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Edge proxy Jaccard + division counts</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same as 8-30</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9-32</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9</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Submitted nodes/edges per sample</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9-33</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9</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Per-sample processing time</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9-34</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9</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Submission row-type pie chart</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9-35</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9</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Node z-depth distribution</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10-36</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10</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Model comparison bars</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NaN metric values</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10-37</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10</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HP sensitivity lines</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no sweep data</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10-38</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10</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Bayesian vs. grid-search convergence</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 (simulated)</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10-39</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10</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Radar chart — detector profiles</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10-40</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10</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Comprehensive 2×3 analysis grid</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10-41</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10</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Failure mode priority matrix</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10-42</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10</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Enhancement roadmap scatter</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10-43</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10</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Hyperparameter importance bar</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no sweep data</w:t>
            </w:r>
          </w:p>
        </w:tc>
      </w:tr>
      <w:tr>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10-44</w:t>
            </w:r>
          </w:p>
        </w:tc>
        <w:tc>
          <w:tcPr>
            <w:tcW w:type="dxa" w:w="9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 10</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Per-embryo recall heatmap</w:t>
            </w:r>
          </w:p>
        </w:tc>
        <w:tc>
          <w:tcPr>
            <w:tcW w:type="dxa" w:w="36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Placeholder — NaN proxy scores</w:t>
            </w:r>
          </w:p>
        </w:tc>
      </w:tr>
      <w:tr>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10-45</w:t>
            </w:r>
          </w:p>
        </w:tc>
        <w:tc>
          <w:tcPr>
            <w:tcW w:type="dxa" w:w="9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 10</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Submission nodes/edges boxplot</w:t>
            </w:r>
          </w:p>
        </w:tc>
        <w:tc>
          <w:tcPr>
            <w:tcW w:type="dxa" w:w="36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Present</w:t>
            </w:r>
          </w:p>
        </w:tc>
      </w:tr>
    </w:tbl>
    <w:p>
      <w:pPr>
        <w:spacing w:after="40" w:before="40"/>
      </w:pPr>
    </w:p>
    <w:p>
      <w:pPr>
        <w:pStyle w:val="Heading1"/>
        <w:pageBreakBefore/>
        <w:spacing w:after="160" w:before="480"/>
      </w:pPr>
      <w:r>
        <w:t xml:space="preserve">Appendix B — CSV Artefact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000"/>
      </w:tblGrid>
      <w:tr>
        <w:trPr>
          <w:tblHeader/>
        </w:trPr>
        <w:tc>
          <w:tcPr>
            <w:tcW w:type="dxa" w:w="3200"/>
            <w:shd w:fill="1E3A5F" w:val="clear"/>
            <w:tcMar>
              <w:top w:type="dxa" w:w="80"/>
              <w:left w:type="dxa" w:w="120"/>
              <w:bottom w:type="dxa" w:w="80"/>
              <w:right w:type="dxa" w:w="120"/>
            </w:tcMar>
          </w:tcPr>
          <w:p>
            <w:pPr>
              <w:spacing w:after="60" w:before="60"/>
              <w:jc w:val="center"/>
            </w:pPr>
            <w:r>
              <w:rPr>
                <w:b/>
                <w:bCs/>
                <w:color w:val="FFFFFF"/>
                <w:sz w:val="19"/>
                <w:szCs w:val="19"/>
              </w:rPr>
              <w:t xml:space="preserve">File</w:t>
            </w:r>
          </w:p>
        </w:tc>
        <w:tc>
          <w:tcPr>
            <w:tcW w:type="dxa" w:w="800"/>
            <w:shd w:fill="1E3A5F" w:val="clear"/>
            <w:tcMar>
              <w:top w:type="dxa" w:w="80"/>
              <w:left w:type="dxa" w:w="120"/>
              <w:bottom w:type="dxa" w:w="80"/>
              <w:right w:type="dxa" w:w="120"/>
            </w:tcMar>
          </w:tcPr>
          <w:p>
            <w:pPr>
              <w:spacing w:after="60" w:before="60"/>
              <w:jc w:val="center"/>
            </w:pPr>
            <w:r>
              <w:rPr>
                <w:b/>
                <w:bCs/>
                <w:color w:val="FFFFFF"/>
                <w:sz w:val="19"/>
                <w:szCs w:val="19"/>
              </w:rPr>
              <w:t xml:space="preserve">Phase</w:t>
            </w:r>
          </w:p>
        </w:tc>
        <w:tc>
          <w:tcPr>
            <w:tcW w:type="dxa" w:w="5000"/>
            <w:shd w:fill="1E3A5F" w:val="clear"/>
            <w:tcMar>
              <w:top w:type="dxa" w:w="80"/>
              <w:left w:type="dxa" w:w="120"/>
              <w:bottom w:type="dxa" w:w="80"/>
              <w:right w:type="dxa" w:w="120"/>
            </w:tcMar>
          </w:tcPr>
          <w:p>
            <w:pPr>
              <w:spacing w:after="60" w:before="60"/>
              <w:jc w:val="center"/>
            </w:pPr>
            <w:r>
              <w:rPr>
                <w:b/>
                <w:bCs/>
                <w:color w:val="FFFFFF"/>
                <w:sz w:val="19"/>
                <w:szCs w:val="19"/>
              </w:rPr>
              <w:t xml:space="preserve">Content</w:t>
            </w:r>
          </w:p>
        </w:tc>
      </w:tr>
      <w:tr>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phase0_gpu_diagnostics.csv</w:t>
            </w:r>
          </w:p>
        </w:tc>
        <w:tc>
          <w:tcPr>
            <w:tcW w:type="dxa" w:w="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0</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GPU/torch environment diagnostics</w:t>
            </w:r>
          </w:p>
        </w:tc>
      </w:tr>
      <w:tr>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phase1_problem_contract.csv</w:t>
            </w:r>
          </w:p>
        </w:tc>
        <w:tc>
          <w:tcPr>
            <w:tcW w:type="dxa" w:w="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Task specification and output schema</w:t>
            </w:r>
          </w:p>
        </w:tc>
      </w:tr>
      <w:tr>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phase1_config_snapshot.csv</w:t>
            </w:r>
          </w:p>
        </w:tc>
        <w:tc>
          <w:tcPr>
            <w:tcW w:type="dxa" w:w="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All 35 CONFIG parameters and values</w:t>
            </w:r>
          </w:p>
        </w:tc>
      </w:tr>
      <w:tr>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phase2_split_summary.csv</w:t>
            </w:r>
          </w:p>
        </w:tc>
        <w:tc>
          <w:tcPr>
            <w:tcW w:type="dxa" w:w="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2</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Sample/embryo counts per split</w:t>
            </w:r>
          </w:p>
        </w:tc>
      </w:tr>
      <w:tr>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phase2_train_sample_metadata.csv</w:t>
            </w:r>
          </w:p>
        </w:tc>
        <w:tc>
          <w:tcPr>
            <w:tcW w:type="dxa" w:w="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2</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Geometry and metadata for sampled train zarrs</w:t>
            </w:r>
          </w:p>
        </w:tc>
      </w:tr>
      <w:tr>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phase2_test_sample_metadata.csv</w:t>
            </w:r>
          </w:p>
        </w:tc>
        <w:tc>
          <w:tcPr>
            <w:tcW w:type="dxa" w:w="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2</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Geometry and metadata for all 4 test zarrs</w:t>
            </w:r>
          </w:p>
        </w:tc>
      </w:tr>
      <w:tr>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phase4_effective_tracking_geometry.csv</w:t>
            </w:r>
          </w:p>
        </w:tc>
        <w:tc>
          <w:tcPr>
            <w:tcW w:type="dxa" w:w="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4</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Link gate and division parameter values</w:t>
            </w:r>
          </w:p>
        </w:tc>
      </w:tr>
      <w:tr>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phase5_dl_training_history.csv</w:t>
            </w:r>
          </w:p>
        </w:tc>
        <w:tc>
          <w:tcPr>
            <w:tcW w:type="dxa" w:w="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5</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Per-epoch train/val BCE loss (empty in this run)</w:t>
            </w:r>
          </w:p>
        </w:tc>
      </w:tr>
      <w:tr>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phase7_demo_track_nodes.csv</w:t>
            </w:r>
          </w:p>
        </w:tc>
        <w:tc>
          <w:tcPr>
            <w:tcW w:type="dxa" w:w="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7</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Node rows from 6-frame demo tracking window</w:t>
            </w:r>
          </w:p>
        </w:tc>
      </w:tr>
      <w:tr>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phase7_demo_track_edges.csv</w:t>
            </w:r>
          </w:p>
        </w:tc>
        <w:tc>
          <w:tcPr>
            <w:tcW w:type="dxa" w:w="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7</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Edge rows from 6-frame demo tracking window</w:t>
            </w:r>
          </w:p>
        </w:tc>
      </w:tr>
      <w:tr>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phase9_submission_per_sample_stats.csv</w:t>
            </w:r>
          </w:p>
        </w:tc>
        <w:tc>
          <w:tcPr>
            <w:tcW w:type="dxa" w:w="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9</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Per-sample node/edge counts and timing</w:t>
            </w:r>
          </w:p>
        </w:tc>
      </w:tr>
      <w:tr>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phase9_submission_audit.csv</w:t>
            </w:r>
          </w:p>
        </w:tc>
        <w:tc>
          <w:tcPr>
            <w:tcW w:type="dxa" w:w="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9</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6-point schema/value audit results</w:t>
            </w:r>
          </w:p>
        </w:tc>
      </w:tr>
      <w:tr>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phase10_model_comparison_table.csv</w:t>
            </w:r>
          </w:p>
        </w:tc>
        <w:tc>
          <w:tcPr>
            <w:tcW w:type="dxa" w:w="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Detector comparison (sparse recall, rho, jaccard)</w:t>
            </w:r>
          </w:p>
        </w:tc>
      </w:tr>
      <w:tr>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phase10_failure_mode_analysis.csv</w:t>
            </w:r>
          </w:p>
        </w:tc>
        <w:tc>
          <w:tcPr>
            <w:tcW w:type="dxa" w:w="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7 failure modes with root causes and fixes</w:t>
            </w:r>
          </w:p>
        </w:tc>
      </w:tr>
      <w:tr>
        <w:tc>
          <w:tcPr>
            <w:tcW w:type="dxa" w:w="32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phase10_enhancement_recommendations.csv</w:t>
            </w:r>
          </w:p>
        </w:tc>
        <w:tc>
          <w:tcPr>
            <w:tcW w:type="dxa" w:w="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10</w:t>
            </w:r>
          </w:p>
        </w:tc>
        <w:tc>
          <w:tcPr>
            <w:tcW w:type="dxa" w:w="50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7 prioritised pipeline improvements</w:t>
            </w:r>
          </w:p>
        </w:tc>
      </w:tr>
      <w:tr>
        <w:tc>
          <w:tcPr>
            <w:tcW w:type="dxa" w:w="32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phase10_run_summary.csv</w:t>
            </w:r>
          </w:p>
        </w:tc>
        <w:tc>
          <w:tcPr>
            <w:tcW w:type="dxa" w:w="8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10</w:t>
            </w:r>
          </w:p>
        </w:tc>
        <w:tc>
          <w:tcPr>
            <w:tcW w:type="dxa" w:w="5000"/>
            <w:shd w:fill="F0F4FF" w:val="clear"/>
            <w:tcMar>
              <w:top w:type="dxa" w:w="80"/>
              <w:left w:type="dxa" w:w="120"/>
              <w:bottom w:type="dxa" w:w="80"/>
              <w:right w:type="dxa" w:w="120"/>
            </w:tcMar>
          </w:tcPr>
          <w:p>
            <w:pPr>
              <w:spacing w:after="60" w:before="60"/>
              <w:jc w:val="left"/>
            </w:pPr>
            <w:r>
              <w:rPr>
                <w:b w:val="false"/>
                <w:bCs w:val="false"/>
                <w:color w:val="1F2937"/>
                <w:sz w:val="19"/>
                <w:szCs w:val="19"/>
              </w:rPr>
              <w:t xml:space="preserve">End-to-end run statistics</w:t>
            </w:r>
          </w:p>
        </w:tc>
      </w:tr>
    </w:tbl>
    <w:p>
      <w:pPr>
        <w:spacing w:after="40" w:before="40"/>
      </w:pPr>
    </w:p>
    <w:p>
      <w:pPr>
        <w:pStyle w:val="Heading1"/>
        <w:pageBreakBefore/>
        <w:spacing w:after="160" w:before="480"/>
      </w:pPr>
      <w:r>
        <w:t xml:space="preserve">Appendix C —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Zarr v3</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Hierarchical array storage format (ZIP-like, chunked, compressed) used for all image volumes and .geff annotation files in this dataset</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GEFF</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Graph Exchange Format — Zarr v3 directory storing a cell tracking graph (nodes = detections, edges = temporal links)</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Working grid</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Near-isotropic volume produced by XY block-mean downsampling (XY_DS=4) from the raw (64,256,256) volume to (64,64,64)</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Hungarian algorithm</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Optimal linear assignment (scipy.optimize.linear_sum_assignment) used to match predicted centroids to GT or frame-to-frame</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NMS (Non-Maximum Suppression)</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Removes duplicate detections within NMS_RADIUS_UM physical distance, keeping only the highest-intensity peak in each radius</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ρ (rho)</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Count ratio: N_predicted / N_estimated — measures whether the detector produces the expected number of cells per frame</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Sparse recall</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Fraction of annotated GT nodes matched within MATCH_GATE_UM by a one-to-one Hungarian assignment</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SHAP</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SHapley Additive exPlanations — game-theoretic method assigning feature contributions to model predictions</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TinyUNet3D</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3D encoder-decoder CNN (8-channel base) for heatmap regression; 3-level with MaxPool3d and ConvTranspose3d skip connections</w:t>
            </w:r>
          </w:p>
        </w:tc>
      </w:tr>
      <w:tr>
        <w:tc>
          <w:tcPr>
            <w:tcW w:type="dxa" w:w="3200"/>
            <w:shd w:fill="F8FAFF" w:val="clear"/>
            <w:tcMar>
              <w:top w:type="dxa" w:w="80"/>
              <w:left w:type="dxa" w:w="120"/>
              <w:bottom w:type="dxa" w:w="80"/>
              <w:right w:type="dxa" w:w="120"/>
            </w:tcMar>
          </w:tcPr>
          <w:p>
            <w:pPr>
              <w:spacing w:after="60" w:before="60"/>
              <w:jc w:val="left"/>
            </w:pPr>
            <w:r>
              <w:rPr>
                <w:b/>
                <w:bCs/>
                <w:color w:val="1F2937"/>
                <w:sz w:val="19"/>
                <w:szCs w:val="19"/>
              </w:rPr>
              <w:t xml:space="preserve">BCE loss</w:t>
            </w:r>
          </w:p>
        </w:tc>
        <w:tc>
          <w:tcPr>
            <w:tcW w:type="dxa" w:w="5800"/>
            <w:shd w:fill="FAFAFA" w:val="clear"/>
            <w:tcMar>
              <w:top w:type="dxa" w:w="80"/>
              <w:left w:type="dxa" w:w="120"/>
              <w:bottom w:type="dxa" w:w="80"/>
              <w:right w:type="dxa" w:w="120"/>
            </w:tcMar>
          </w:tcPr>
          <w:p>
            <w:pPr>
              <w:spacing w:after="60" w:before="60"/>
              <w:jc w:val="left"/>
            </w:pPr>
            <w:r>
              <w:rPr>
                <w:b w:val="false"/>
                <w:bCs w:val="false"/>
                <w:color w:val="1F2937"/>
                <w:sz w:val="19"/>
                <w:szCs w:val="19"/>
              </w:rPr>
              <w:t xml:space="preserve">Binary Cross-Entropy with logits — training objective for heatmap regression (1=cell centre, 0=background)</w:t>
            </w:r>
          </w:p>
        </w:tc>
      </w:tr>
      <w:tr>
        <w:tc>
          <w:tcPr>
            <w:tcW w:type="dxa" w:w="3200"/>
            <w:shd w:fill="EFF6FF" w:val="clear"/>
            <w:tcMar>
              <w:top w:type="dxa" w:w="80"/>
              <w:left w:type="dxa" w:w="120"/>
              <w:bottom w:type="dxa" w:w="80"/>
              <w:right w:type="dxa" w:w="120"/>
            </w:tcMar>
          </w:tcPr>
          <w:p>
            <w:pPr>
              <w:spacing w:after="60" w:before="60"/>
              <w:jc w:val="left"/>
            </w:pPr>
            <w:r>
              <w:rPr>
                <w:b/>
                <w:bCs/>
                <w:color w:val="1F2937"/>
                <w:sz w:val="19"/>
                <w:szCs w:val="19"/>
              </w:rPr>
              <w:t xml:space="preserve">OPEI</w:t>
            </w:r>
          </w:p>
        </w:tc>
        <w:tc>
          <w:tcPr>
            <w:tcW w:type="dxa" w:w="5800"/>
            <w:shd w:fill="FFFFFF" w:val="clear"/>
            <w:tcMar>
              <w:top w:type="dxa" w:w="80"/>
              <w:left w:type="dxa" w:w="120"/>
              <w:bottom w:type="dxa" w:w="80"/>
              <w:right w:type="dxa" w:w="120"/>
            </w:tcMar>
          </w:tcPr>
          <w:p>
            <w:pPr>
              <w:spacing w:after="60" w:before="60"/>
              <w:jc w:val="left"/>
            </w:pPr>
            <w:r>
              <w:rPr>
                <w:b w:val="false"/>
                <w:bCs w:val="false"/>
                <w:color w:val="1F2937"/>
                <w:sz w:val="19"/>
                <w:szCs w:val="19"/>
              </w:rPr>
              <w:t xml:space="preserve">Overall Product Excellence Index — composite quality index used in the companion Gummy Formulation study</w:t>
            </w:r>
          </w:p>
        </w:tc>
      </w:tr>
    </w:tbl>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6"/>
      </w:pBdr>
      <w:jc w:val="center"/>
    </w:pPr>
    <w:r>
      <w:rPr>
        <w:color w:val="9CA3AF"/>
        <w:sz w:val="16"/>
        <w:szCs w:val="16"/>
      </w:rPr>
      <w:t xml:space="preserve">Confidential — Internal R&amp;D Report   </w:t>
    </w:r>
    <w:r>
      <w:rPr>
        <w:color w:val="6B7280"/>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6"/>
      </w:pBdr>
    </w:pPr>
    <w:r>
      <w:rPr>
        <w:i/>
        <w:iCs/>
        <w:color w:val="6B7280"/>
        <w:sz w:val="16"/>
        <w:szCs w:val="16"/>
      </w:rPr>
      <w:t xml:space="preserve">Biohub Cell Tracking — Phase-Wise Analysis Report</w:t>
    </w:r>
    <w:r>
      <w:rPr>
        <w:color w:val="9CA3AF"/>
        <w:sz w:val="16"/>
        <w:szCs w:val="16"/>
      </w:rPr>
      <w:t xml:space="preserve">    |    CZI Biohub Competition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80"/>
    </w:pPr>
    <w:rPr>
      <w:rFonts w:ascii="Calibri" w:cs="Calibri" w:eastAsia="Calibri" w:hAnsi="Calibri"/>
      <w:b/>
      <w:bCs/>
      <w:color w:val="1E3A5F"/>
      <w:sz w:val="32"/>
      <w:szCs w:val="32"/>
    </w:rPr>
  </w:style>
  <w:style w:type="paragraph" w:styleId="Heading2">
    <w:name w:val="Heading 2"/>
    <w:basedOn w:val="Normal"/>
    <w:next w:val="Normal"/>
    <w:qFormat/>
    <w:pPr>
      <w:spacing w:after="120" w:before="320"/>
    </w:pPr>
    <w:rPr>
      <w:rFonts w:ascii="Calibri" w:cs="Calibri" w:eastAsia="Calibri" w:hAnsi="Calibri"/>
      <w:b/>
      <w:bCs/>
      <w:color w:val="1E40AF"/>
      <w:sz w:val="26"/>
      <w:szCs w:val="26"/>
    </w:rPr>
  </w:style>
  <w:style w:type="paragraph" w:styleId="Heading3">
    <w:name w:val="Heading 3"/>
    <w:basedOn w:val="Normal"/>
    <w:next w:val="Normal"/>
    <w:qFormat/>
    <w:pPr>
      <w:spacing w:after="80" w:before="200"/>
    </w:pPr>
    <w:rPr>
      <w:rFonts w:ascii="Calibri" w:cs="Calibri" w:eastAsia="Calibri" w:hAnsi="Calibri"/>
      <w:b/>
      <w:bCs/>
      <w:color w:val="2563E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5feb39fe28653cfce1064c93c846e2a7d820eb.png"/><Relationship Id="rId10" Type="http://schemas.openxmlformats.org/officeDocument/2006/relationships/image" Target="media/0ce31471757e5effc225e8d1841810391c7e9f27.png"/><Relationship Id="rId11" Type="http://schemas.openxmlformats.org/officeDocument/2006/relationships/image" Target="media/1a3de13653e47746e1333991f6b06560b63bb6ba.png"/><Relationship Id="rId12" Type="http://schemas.openxmlformats.org/officeDocument/2006/relationships/image" Target="media/3350ba5de8ba16d8cea4521c3f8cd31106b7c6dc.png"/><Relationship Id="rId13" Type="http://schemas.openxmlformats.org/officeDocument/2006/relationships/image" Target="media/4342ba5bdc8444c650c39e41aa1f2684f78bcff6.png"/><Relationship Id="rId14" Type="http://schemas.openxmlformats.org/officeDocument/2006/relationships/image" Target="media/18f3373d88c22cd33dbaccf325c2e19a490cd2e5.png"/><Relationship Id="rId15" Type="http://schemas.openxmlformats.org/officeDocument/2006/relationships/image" Target="media/55f805b87a5c539a4a93147a5d5dab272ec2e7f6.png"/><Relationship Id="rId16" Type="http://schemas.openxmlformats.org/officeDocument/2006/relationships/image" Target="media/22dac213d9326b180eb9123b81f7971252db5a44.png"/><Relationship Id="rId17" Type="http://schemas.openxmlformats.org/officeDocument/2006/relationships/image" Target="media/428a248cd6647fac60657954a39d15cde55fc719.png"/><Relationship Id="rId18" Type="http://schemas.openxmlformats.org/officeDocument/2006/relationships/image" Target="media/9e232d24f39ba7f923286abb2769dad284cf921e.png"/><Relationship Id="rId19" Type="http://schemas.openxmlformats.org/officeDocument/2006/relationships/image" Target="media/87d32815cd14f8184e5de86edd6bbdd34deddafe.png"/><Relationship Id="rId20" Type="http://schemas.openxmlformats.org/officeDocument/2006/relationships/image" Target="media/ee33d77c1339042a3026d5b2a449c1a47157d5b8.png"/><Relationship Id="rId21" Type="http://schemas.openxmlformats.org/officeDocument/2006/relationships/image" Target="media/66d82f8407a99c6182fcdac613a3a4f2010eb436.png"/><Relationship Id="rId22" Type="http://schemas.openxmlformats.org/officeDocument/2006/relationships/image" Target="media/44c7da57985d9f5b607ca0e1030558fe9d8b3ab3.png"/><Relationship Id="rId23" Type="http://schemas.openxmlformats.org/officeDocument/2006/relationships/image" Target="media/bcd6216f02b01e21c55eddb2b45e561734d918a3.png"/><Relationship Id="rId24" Type="http://schemas.openxmlformats.org/officeDocument/2006/relationships/image" Target="media/e6a99554e8333016e78773f0d46f63397e978b4e.png"/><Relationship Id="rId25" Type="http://schemas.openxmlformats.org/officeDocument/2006/relationships/image" Target="media/ee49d6ebe041c4318d1e520febcb361c91a68bbe.png"/><Relationship Id="rId26" Type="http://schemas.openxmlformats.org/officeDocument/2006/relationships/image" Target="media/2de236aea29307751b455c3ac51db3a330aa71d0.png"/><Relationship Id="rId27" Type="http://schemas.openxmlformats.org/officeDocument/2006/relationships/image" Target="media/a027d82d141382a71533a92ddefcd2ba59b6db74.png"/><Relationship Id="rId28" Type="http://schemas.openxmlformats.org/officeDocument/2006/relationships/image" Target="media/27b817487da14389a785b74f33db9f9812e22046.png"/><Relationship Id="rId29" Type="http://schemas.openxmlformats.org/officeDocument/2006/relationships/image" Target="media/2af526e0f8d2eff3ed72f1288fcecce756ecb92d.png"/><Relationship Id="rId30" Type="http://schemas.openxmlformats.org/officeDocument/2006/relationships/image" Target="media/a467c1b47e89f8d9034cb5edec75732a4da0c48b.png"/><Relationship Id="rId31" Type="http://schemas.openxmlformats.org/officeDocument/2006/relationships/image" Target="media/85abf2e37f4b3733e27080c449d689f8ec90de2a.png"/><Relationship Id="rId32" Type="http://schemas.openxmlformats.org/officeDocument/2006/relationships/image" Target="media/4d354ffbe8a2a6781bac356f07294864724dbcc7.png"/><Relationship Id="rId33" Type="http://schemas.openxmlformats.org/officeDocument/2006/relationships/image" Target="media/60be276abaab28977ce1904f1567ba622777838f.png"/><Relationship Id="rId34" Type="http://schemas.openxmlformats.org/officeDocument/2006/relationships/image" Target="media/a848779d6bae1155eae197efdf6226f74a8055e0.png"/><Relationship Id="rId35" Type="http://schemas.openxmlformats.org/officeDocument/2006/relationships/image" Target="media/d2cb4844e8b730609d0fcdbc38b8b1916932a5f1.png"/><Relationship Id="rId36" Type="http://schemas.openxmlformats.org/officeDocument/2006/relationships/image" Target="media/1e3c2b586f3d1064a2541fa7bce7810797c9957d.png"/><Relationship Id="rId37" Type="http://schemas.openxmlformats.org/officeDocument/2006/relationships/image" Target="media/820e55c55b7fd023da3d39f2df96a7f0a654ce14.png"/><Relationship Id="rId38" Type="http://schemas.openxmlformats.org/officeDocument/2006/relationships/image" Target="media/7841eaa5346260767924e45002e8d1a83243dc41.png"/><Relationship Id="rId39" Type="http://schemas.openxmlformats.org/officeDocument/2006/relationships/image" Target="media/73c04bec731c75b296b4341623915504555e4802.png"/><Relationship Id="rId40" Type="http://schemas.openxmlformats.org/officeDocument/2006/relationships/image" Target="media/c769582b0cc6deb7e4c5519d73af98cea6c865a6.png"/><Relationship Id="rId41" Type="http://schemas.openxmlformats.org/officeDocument/2006/relationships/image" Target="media/721a91567a5bf8963cc1ef167fee8db3b569ab4a.png"/><Relationship Id="rId42" Type="http://schemas.openxmlformats.org/officeDocument/2006/relationships/image" Target="media/33be4c129288bbca0e8f7fd681cd239274ed35c1.png"/><Relationship Id="rId43" Type="http://schemas.openxmlformats.org/officeDocument/2006/relationships/image" Target="media/03ec51d5e80e2f21721c1dfbe43df8100c8b9574.png"/><Relationship Id="rId44" Type="http://schemas.openxmlformats.org/officeDocument/2006/relationships/image" Target="media/99a74c7d5e83c822ecbc3e121519487f9a1fb101.png"/><Relationship Id="rId45" Type="http://schemas.openxmlformats.org/officeDocument/2006/relationships/image" Target="media/6fbd8ec5acc416e5a363dc0551c7d3092b21748d.png"/><Relationship Id="rId46" Type="http://schemas.openxmlformats.org/officeDocument/2006/relationships/image" Target="media/0e546f1fe729e27bd08f02c0293a8354cd531069.png"/><Relationship Id="rId47" Type="http://schemas.openxmlformats.org/officeDocument/2006/relationships/image" Target="media/16cd76692815b0bc1a7e75a870e7125868882a38.png"/><Relationship Id="rId48" Type="http://schemas.openxmlformats.org/officeDocument/2006/relationships/image" Target="media/606c26d922b2dfbb558d9ffda2e213546fd09de1.png"/><Relationship Id="rId49" Type="http://schemas.openxmlformats.org/officeDocument/2006/relationships/image" Target="media/f8a55263c04ddcaf66aed7e77352441cf356f847.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2026-07-02T03:28:51.828Z</dcterms:created>
  <dcterms:modified xsi:type="dcterms:W3CDTF">2026-07-02T03:28:51.843Z</dcterms:modified>
</cp:coreProperties>
</file>

<file path=docProps/custom.xml><?xml version="1.0" encoding="utf-8"?>
<Properties xmlns="http://schemas.openxmlformats.org/officeDocument/2006/custom-properties" xmlns:vt="http://schemas.openxmlformats.org/officeDocument/2006/docPropsVTypes"/>
</file>