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 xml:space="preserve">Lab 3: Architectural Pattern Selection &amp; Justification</w:t>
      </w:r>
    </w:p>
    <w:p>
      <w:pPr>
        <w:spacing w:after="40"/>
        <w:jc w:val="center"/>
      </w:pPr>
      <w:r>
        <w:rPr>
          <w:i/>
          <w:iCs/>
          <w:color w:val="444444"/>
          <w:sz w:val="21"/>
          <w:szCs w:val="21"/>
        </w:rPr>
        <w:t xml:space="preserve">Problem Statement #58 — Digital Art Commission &amp; Watermarking Portal</w:t>
      </w:r>
    </w:p>
    <w:p>
      <w:pPr>
        <w:spacing w:after="160"/>
        <w:jc w:val="center"/>
      </w:pPr>
      <w:r>
        <w:rPr>
          <w:color w:val="666666"/>
          <w:sz w:val="18"/>
          <w:szCs w:val="18"/>
        </w:rPr>
        <w:t xml:space="preserve">SRN: PES1UG24CS909  |  Name: Prithvi Aithal  |  Class: 5G</w:t>
      </w:r>
    </w:p>
    <w:p>
      <w:pPr>
        <w:spacing w:after="140"/>
      </w:pPr>
      <w:r>
        <w:rPr>
          <w:b/>
          <w:bCs/>
        </w:rPr>
        <w:t xml:space="preserve">Architecture Selection: </w:t>
      </w:r>
      <w:r>
        <w:t xml:space="preserve">We chose the Microservices Architecture for the Digital Art Commission &amp; Watermarking Portal System.</w:t>
      </w:r>
    </w:p>
    <w:p>
      <w:pPr>
        <w:pStyle w:val="Heading2"/>
        <w:spacing w:after="100" w:before="220"/>
      </w:pPr>
      <w:r>
        <w:rPr>
          <w:b/>
          <w:bCs/>
          <w:color w:val="1F3864"/>
        </w:rPr>
        <w:t xml:space="preserve">Architectural Choice</w:t>
      </w:r>
    </w:p>
    <w:p>
      <w:pPr>
        <w:spacing w:after="100"/>
      </w:pPr>
      <w:r>
        <w:t xml:space="preserve">The platform is decomposed into four independently deployable backend services — Draft Review &amp; Watermarking, Milestone Payment &amp; Asset Delivery, Commission Tracking, and Reputation &amp; Review — each exposed to a shared Client Portal UI through a dedicated provided interface, and the Payment &amp; Delivery service integrates with the external Payment Gateway through a required interface.</w:t>
      </w:r>
    </w:p>
    <w:p>
      <w:pPr>
        <w:pStyle w:val="Heading2"/>
        <w:spacing w:after="100" w:before="220"/>
      </w:pPr>
      <w:r>
        <w:rPr>
          <w:b/>
          <w:bCs/>
          <w:color w:val="1F3864"/>
        </w:rPr>
        <w:t xml:space="preserve">Two Reasons for This Choice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Independent scaling for workloads with very different resource profiles: FR-001's dynamic watermark rendering is CPU/GPU-intensive and its load spikes whenever artists batch-upload drafts, whereas the Milestone Payment &amp; Asset Delivery service (FR-002) handles comparatively few but high-value transactional calls. A microservices split lets the Draft Review &amp; Watermarking service scale horizontally during upload surges without over-provisioning the payment path, which a single monolithic layer could not do independently.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Fault isolation between unrelated subsystems: NFR-002 requires the watermarking pipeline and payment-gating subsystem to each independently maintain 99.5%+ uptime with their own retry/fallback logic (failed watermark jobs retry up to 3 times before a manual-review queue). Separating these into distinct services means a degraded or retrying Watermarking service cannot block or slow down Commission Tracking (FR-004) or Reputation submissions (FR-005), which is difficult to guarantee inside a single tightly-coupled layered application.</w:t>
      </w:r>
    </w:p>
    <w:p>
      <w:pPr>
        <w:pStyle w:val="Heading2"/>
        <w:spacing w:after="100" w:before="220"/>
      </w:pPr>
      <w:r>
        <w:rPr>
          <w:b/>
          <w:bCs/>
          <w:color w:val="1F3864"/>
        </w:rPr>
        <w:t xml:space="preserve">Security Advantage</w:t>
      </w:r>
    </w:p>
    <w:p>
      <w:pPr>
        <w:spacing w:after="100"/>
      </w:pPr>
      <w:r>
        <w:t xml:space="preserve">Isolating the Milestone Payment &amp; Asset Delivery service as its own component confines all payment-gateway credentials and final high-resolution asset access to a single, narrowly-scoped service. The Client Portal never talks to the Payment Gateway directly and never touches the unwatermarked source file; it only receives a short-lived signed download URL (NFR-001, 60-minute expiry) generated by this one service. This satisfies FR-002's pay-to-unlock model and shrinks the attack surface, since a compromise of the Draft &amp; Watermarking, Commission Tracking, or Reputation services would not expose payment credentials or unpublished high-res artwork.</w:t>
      </w:r>
    </w:p>
    <w:p>
      <w:pPr>
        <w:pStyle w:val="Heading2"/>
        <w:spacing w:after="100" w:before="220"/>
      </w:pPr>
      <w:r>
        <w:rPr>
          <w:b/>
          <w:bCs/>
          <w:color w:val="1F3864"/>
        </w:rPr>
        <w:t xml:space="preserve">Performance Benefit</w:t>
      </w:r>
    </w:p>
    <w:p>
      <w:pPr>
        <w:spacing w:after="100"/>
      </w:pPr>
      <w:r>
        <w:t xml:space="preserve">Because each service is deployed and scaled independently, the Draft Review &amp; Watermarking service can be scaled out on demand to keep watermark generation responsive during upload bursts, without that scaling affecting the lighter-weight Commission Tracking or Reputation services. This directly supports the acceptance criteria in FR-004 (status updates visible within 2 seconds) and FR-003 (revision requests logged within 1 minute) by ensuring those lightweight, latency-sensitive services are never starved of resources by the much heavier watermarking workload.</w:t>
      </w:r>
    </w:p>
    <w:p>
      <w:pPr>
        <w:pBdr>
          <w:top w:val="single" w:color="AAAAAA" w:sz="6"/>
        </w:pBdr>
        <w:spacing w:before="260"/>
      </w:pPr>
      <w:r>
        <w:t xml:space="preserve"/>
      </w:r>
    </w:p>
    <w:p>
      <w:pPr>
        <w:spacing w:before="100"/>
      </w:pPr>
      <w:r>
        <w:rPr>
          <w:i/>
          <w:iCs/>
          <w:color w:val="555555"/>
          <w:sz w:val="19"/>
          <w:szCs w:val="19"/>
        </w:rPr>
        <w:t xml:space="preserve">Diagram Reference: See Component Diagram (PNG) — 5 components (Client Portal UI, Draft Review &amp; Watermarking Service, Milestone Payment &amp; Asset Delivery Service, Commission Tracking Service, Reputation &amp; Review Service) plus the external Payment Gateway, with 5 interfaces shown using provided/required UML notation.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2026-09-27T16:12:25.373Z</dcterms:created>
  <dcterms:modified xsi:type="dcterms:W3CDTF">2026-09-27T16:12:25.382Z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