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 #58 — Digital Art Commission &amp; Watermarking Portal</w:t>
      </w:r>
    </w:p>
    <w:p>
      <w:pPr>
        <w:pStyle w:val="Heading2"/>
      </w:pPr>
      <w:r>
        <w:t xml:space="preserve">Requirements Table</w:t>
      </w:r>
    </w:p>
    <w:p>
      <w:pPr>
        <w:spacing w:after="200"/>
      </w:pPr>
      <w:r>
        <w:rPr>
          <w:b/>
          <w:bCs/>
        </w:rPr>
        <w:t xml:space="preserve">Actors: </w:t>
      </w:r>
      <w:r>
        <w:t xml:space="preserve">Client Buyer, Digital Artist, Payment Gateway (external system)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600"/>
        <w:gridCol w:w="900"/>
        <w:gridCol w:w="3060"/>
        <w:gridCol w:w="3000"/>
      </w:tblGrid>
      <w:tr>
        <w:trPr>
          <w:tblHeader/>
        </w:trPr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apply a dynamic diagonal overlay watermark to all draft illustrations uploaded by artists before displaying them to the client.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Watermarked draft rendered in client portal. Fail: Unwatermarked high-res image exposed before final payment.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Protects the artist's unpaid work from being copied or used before the client has paid for it.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lock access to the final high-resolution source file(s) until the client has completed the milestone payment tied to that deliverable.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Download link is disabled and returns 403 until payment status = PAID; becomes active within 5 seconds of a confirmed payment.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Enforces the platform's pay-to-unlock commission model and prevents revenue loss.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FR-003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Client Buyer to submit a revision request (with comments and optional reference image) on any watermarked draft within a configurable revision window.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Revision request is logged against the correct draft version and the artist is notified within 1 minute.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Revisions are a normal part of the workflow; without a structured request, feedback happens off-platform and disputes become unresolvable.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FR-004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commission status dashboard, visible to both the Client Buyer and Digital Artist, showing current stage (Briefed to Delivered).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Status shown to both actors updates within 2 seconds of any state-changing action.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parties need a shared source of truth on progress to reduce disputes.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FR-005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Client Buyer to submit a rating (1-5) and written review of the Digital Artist only after a commission reaches the Delivered state.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Review submission is rejected with a clear message if commission status is not Delivered.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the artist reputation system credible and prevents review manipulation before work is finished.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high-resolution asset downloads must generate expiring signed URLs (e.g., S3 pre-signed URLs) valid for 60 minutes only.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confirms target latency/security under peak load; a URL used after 60 minutes returns 403 Expired.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indefinite or shareable direct links to paid, high-value creative assets.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watermarking pipeline and payment-gating subsystem shall maintain 99.5% or higher monthly uptime, with failed watermark jobs retried up to 3 times before falling back to a manual-review queue.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Uptime monitoring shows 99.5%+ over a rolling 30-day window; failed jobs retry then route to a moderator queue.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Watermarking sits on the critical path between upload and client visibility; silent failure stalls the whole commission.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2026-08-25T05:23:22.685Z</dcterms:created>
  <dcterms:modified xsi:type="dcterms:W3CDTF">2026-08-25T05:23:22.685Z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