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sz w:val="40"/>
        </w:rPr>
        <w:t>Real-Time Ionospheric Geolocation: Closing the HF Single-Station Range Gap with a Hybrid Ionospheric Model Stack and Gaussian-Process Correction</w:t>
      </w:r>
    </w:p>
    <w:p>
      <w:pPr>
        <w:spacing w:after="40"/>
        <w:jc w:val="center"/>
      </w:pPr>
      <w:r>
        <w:rPr>
          <w:rFonts w:ascii="Times New Roman" w:hAnsi="Times New Roman"/>
          <w:sz w:val="24"/>
        </w:rPr>
        <w:t>Prithvi Raghu</w:t>
      </w:r>
    </w:p>
    <w:p>
      <w:pPr>
        <w:spacing w:after="160"/>
        <w:jc w:val="center"/>
      </w:pPr>
      <w:r>
        <w:rPr>
          <w:rFonts w:ascii="Times New Roman" w:hAnsi="Times New Roman"/>
          <w:i/>
          <w:sz w:val="20"/>
        </w:rPr>
        <w:t>B.Tech Computer Science (Year 3), Vellore Institute of Technology, Vellore, India</w:t>
      </w:r>
      <w:r>
        <w:rPr>
          <w:rFonts w:ascii="Times New Roman" w:hAnsi="Times New Roman"/>
          <w:i/>
          <w:sz w:val="20"/>
        </w:rPr>
        <w:br/>
        <w:t>Project: DRDO DIA-CoE/EW/02</w:t>
      </w:r>
      <w:r>
        <w:rPr>
          <w:rFonts w:ascii="Times New Roman" w:hAnsi="Times New Roman"/>
          <w:i/>
          <w:sz w:val="20"/>
        </w:rPr>
        <w:br/>
        <w:t>prithviraghu080706@gmail.com</w:t>
      </w:r>
    </w:p>
    <w:p>
      <w:pPr>
        <w:sectPr>
          <w:pgSz w:w="12240" w:h="15840"/>
          <w:pgMar w:top="1080" w:right="900" w:bottom="1440" w:left="900" w:header="720" w:footer="720" w:gutter="0"/>
          <w:cols w:space="360" w:num="1"/>
          <w:docGrid w:linePitch="360"/>
        </w:sectPr>
      </w:pPr>
    </w:p>
    <w:p>
      <w:pPr>
        <w:spacing w:after="80"/>
        <w:jc w:val="both"/>
      </w:pPr>
      <w:r>
        <w:rPr>
          <w:rFonts w:ascii="Times New Roman" w:hAnsi="Times New Roman"/>
          <w:b/>
          <w:i/>
          <w:sz w:val="18"/>
        </w:rPr>
        <w:t>Abstract—</w:t>
      </w:r>
      <w:r>
        <w:rPr>
          <w:rFonts w:ascii="Times New Roman" w:hAnsi="Times New Roman"/>
          <w:b w:val="0"/>
          <w:i w:val="0"/>
          <w:sz w:val="18"/>
        </w:rPr>
        <w:t>High-frequency (HF) emitter geolocation from a single receiving station is limited by the ionospheric range estimate: operational direction finding yields a bearing but no range. This work closes that gap with a three-layer, real-time pipeline—a condition-aware hybrid ionospheric model selector, a two-pass single-station-location (SSL) algorithm that re-queries the ionosphere at the signal reflection point, and a per-population Gaussian-process (GP) layer that corrects the systematic SSL bias. Trained and evaluated on real ionosonde residuals from the GIRO AH223 Ahmedabad station (June, July, December 2012), the system reduces held-out test-fold mean absolute error from 103.29 km to 77.15 km (25.3%) under nominal mid-latitude conditions. Under geomagnetic-storm conditions, correcting the ray tracer to run at the request frequency (defect D8) revealed that most storm-time signals at typical HF frequencies penetrate the depleted ionosphere—correctly reported as having no skywave solution—and that the reflecting remainder carries a 405.90 km physics baseline that the 66-row storm population can only marginally correct (379.64 km, 6.5%); earlier storm figures are retracted as a physics artifact. These figures are interpolation within the training distribution, not cross-station or cross-season generalization. A ground-truth test-signal generator (an explicit deliverable) and a bearing-noise sensitivity study establish the geolocation Figure of Merit directly: with perfect bearings the SSL algorithm's median intrinsic error is 4.2 km, and elevation-bearing error dominates, costing σ-for-σ about 3× more than azimuth error and reaching a 143 km median at 2° elevation noise. The contribution is a reproducible, fully offline-capable FastAPI service built on open ionosonde data, together with an explicit validity envelope and a documented defect ledger.</w:t>
      </w:r>
    </w:p>
    <w:p>
      <w:pPr>
        <w:spacing w:after="120"/>
        <w:jc w:val="both"/>
      </w:pPr>
      <w:r>
        <w:rPr>
          <w:rFonts w:ascii="Times New Roman" w:hAnsi="Times New Roman"/>
          <w:b/>
          <w:i/>
          <w:sz w:val="18"/>
        </w:rPr>
        <w:t>Index Terms—</w:t>
      </w:r>
      <w:r>
        <w:rPr>
          <w:rFonts w:ascii="Times New Roman" w:hAnsi="Times New Roman"/>
          <w:i/>
          <w:sz w:val="18"/>
        </w:rPr>
        <w:t>HF geolocation, single-station location, ionospheric modelling, IRTAM, IRI, ray tracing, Gaussian process, electronic warfare.</w:t>
      </w:r>
    </w:p>
    <w:p>
      <w:pPr>
        <w:spacing w:before="160" w:after="60"/>
        <w:jc w:val="center"/>
      </w:pPr>
      <w:r>
        <w:rPr>
          <w:rFonts w:ascii="Times New Roman" w:hAnsi="Times New Roman"/>
          <w:smallCaps/>
          <w:sz w:val="20"/>
        </w:rPr>
        <w:t>I.  INTRODUCTION</w:t>
      </w:r>
    </w:p>
    <w:p>
      <w:pPr>
        <w:spacing w:after="80" w:before="0" w:line="240" w:lineRule="auto"/>
        <w:ind w:firstLine="259"/>
        <w:jc w:val="both"/>
      </w:pPr>
      <w:r>
        <w:rPr>
          <w:rFonts w:ascii="Times New Roman" w:hAnsi="Times New Roman"/>
          <w:sz w:val="20"/>
        </w:rPr>
        <w:t>Geolocating a high-frequency (HF, 3–30 MHz) emitter is a core electronic-warfare task. HF signals propagate beyond line of sight by refracting off the ionosphere, so a single receiver can detect an emitter thousands of kilometres away. The operational baseline for such a receiver is bearing-only direction finding: the system measures the azimuth and elevation of the arriving skywave but produces no range. Direction without range leaves the emitter located only to a line, not a point.</w:t>
      </w:r>
    </w:p>
    <w:p>
      <w:pPr>
        <w:spacing w:after="80" w:before="0" w:line="240" w:lineRule="auto"/>
        <w:ind w:firstLine="259"/>
        <w:jc w:val="both"/>
      </w:pPr>
      <w:r>
        <w:rPr>
          <w:rFonts w:ascii="Times New Roman" w:hAnsi="Times New Roman"/>
          <w:sz w:val="20"/>
        </w:rPr>
        <w:t>DRDO problem statement DIA-CoE/EW/02 targets exactly this gap: convert a bearing-only HF measurement into a full latitude/longitude estimate in real time. Range is recovered through single-station location (SSL) geometry, which trades the measured elevation angle against the ionospheric virtual height to compute ground range. The accuracy of that range is therefore bounded by the accuracy of the ionospheric model at the moment and place of reflection—and climatological models such as the International Reference Ionosphere (IRI) do not capture the short-term, storm-driven departures that dominate error precisely when geolocation matters most.</w:t>
      </w:r>
    </w:p>
    <w:p>
      <w:pPr>
        <w:spacing w:after="80" w:before="0" w:line="240" w:lineRule="auto"/>
        <w:ind w:firstLine="259"/>
        <w:jc w:val="both"/>
      </w:pPr>
      <w:r>
        <w:rPr>
          <w:rFonts w:ascii="Times New Roman" w:hAnsi="Times New Roman"/>
          <w:sz w:val="20"/>
        </w:rPr>
        <w:t>This system was rebuilt and validated solo. The original fifteen-person project team disbanded; the pipeline described here—model selector, two-pass SSL, GP correction, service layer, validation, and documentation—was reconstructed and verified independently.</w:t>
      </w:r>
    </w:p>
    <w:p>
      <w:pPr>
        <w:spacing w:after="80" w:before="0" w:line="240" w:lineRule="auto"/>
        <w:ind w:firstLine="259"/>
        <w:jc w:val="both"/>
      </w:pPr>
      <w:r>
        <w:rPr>
          <w:rFonts w:ascii="Times New Roman" w:hAnsi="Times New Roman"/>
          <w:sz w:val="20"/>
        </w:rPr>
        <w:t>The central contribution is stated plainly: a reproducible single-station geolocation pipeline that reduces nominal-condition range error from 103 km to 77 km on real AH223 ionosonde data, quantifies its own intrinsic accuracy with a ground-truth test-signal generator (median 4.2 km with perfect bearings), and reports its storm-time behaviour honestly: with the ray tracer corrected to run at the request frequency (defect D8), most storm-condition signals penetrate the depleted ionosphere and are flagged as having no skywave solution, while the reflecting remainder carries a ~406 km physics baseline that the present 66-row storm population cannot yet meaningfully correct. The remainder of this paper formulates the problem (Section II), describes the architecture (Sections III–V), reports validation (Section VI), establishes the test-signal ground truth and bearing-error figure of merit (Section VII), states the validity envelope and defect ledger honestly (Section VIII), and outlines the path to operational use (Section IX).</w:t>
      </w:r>
    </w:p>
    <w:p>
      <w:pPr>
        <w:spacing w:before="160" w:after="60"/>
        <w:jc w:val="center"/>
      </w:pPr>
      <w:r>
        <w:rPr>
          <w:rFonts w:ascii="Times New Roman" w:hAnsi="Times New Roman"/>
          <w:smallCaps/>
          <w:sz w:val="20"/>
        </w:rPr>
        <w:t>II.  PROBLEM FORMULATION</w:t>
      </w:r>
    </w:p>
    <w:p>
      <w:pPr>
        <w:spacing w:after="80" w:before="0" w:line="240" w:lineRule="auto"/>
        <w:ind w:firstLine="259"/>
        <w:jc w:val="both"/>
      </w:pPr>
      <w:r>
        <w:rPr>
          <w:rFonts w:ascii="Times New Roman" w:hAnsi="Times New Roman"/>
          <w:sz w:val="20"/>
        </w:rPr>
        <w:t>A single station measures three quantities for an arriving skywave: the azimuth (bearing) φ, the elevation angle Δ, and the signal frequency f. The emitter is assumed to lie along the great-circle bearing φ from the receiver. The unknown is the ground range D from receiver to emitter; recovering it converts the bearing line into a point estimate.</w:t>
      </w:r>
    </w:p>
    <w:p>
      <w:pPr>
        <w:spacing w:after="80" w:before="0" w:line="240" w:lineRule="auto"/>
        <w:ind w:firstLine="259"/>
        <w:jc w:val="both"/>
      </w:pPr>
      <w:r>
        <w:rPr>
          <w:rFonts w:ascii="Times New Roman" w:hAnsi="Times New Roman"/>
          <w:sz w:val="20"/>
        </w:rPr>
        <w:t>Under the classical single-hop SSL approximation, the skywave reflects from an ionospheric layer at a virtual height hᵥ, and simple geometry relates range to the measured elevation angle:</w:t>
      </w:r>
    </w:p>
    <w:p>
      <w:pPr>
        <w:spacing w:after="80"/>
        <w:jc w:val="center"/>
      </w:pPr>
      <w:r>
        <w:rPr>
          <w:rFonts w:ascii="Times New Roman" w:hAnsi="Times New Roman"/>
          <w:i/>
          <w:sz w:val="20"/>
        </w:rPr>
        <w:t>ground_distance = virtual_height / tan(elevation_deg)</w:t>
      </w:r>
    </w:p>
    <w:p>
      <w:pPr>
        <w:spacing w:after="80" w:before="0" w:line="240" w:lineRule="auto"/>
        <w:ind w:firstLine="259"/>
        <w:jc w:val="both"/>
      </w:pPr>
      <w:r>
        <w:rPr>
          <w:rFonts w:ascii="Times New Roman" w:hAnsi="Times New Roman"/>
          <w:sz w:val="20"/>
        </w:rPr>
        <w:t>The virtual height is a convenient fiction. A real skywave does not reflect from a thin mirror; it refracts continuously as it climbs into a region of increasing electron density, reaches an apogee where the local plasma frequency equals the signal's effective vertical frequency, and descends again. The virtual height is the apparent reflection height a flat mirror would need to reproduce the observed time-of-flight. It exceeds the true peak height, and the gap between them depends on the full electron-density profile—which is exactly what climatological models approximate only coarsely.</w:t>
      </w:r>
    </w:p>
    <w:p>
      <w:pPr>
        <w:spacing w:after="80" w:before="0" w:line="240" w:lineRule="auto"/>
        <w:ind w:firstLine="259"/>
        <w:jc w:val="both"/>
      </w:pPr>
      <w:r>
        <w:rPr>
          <w:rFonts w:ascii="Times New Roman" w:hAnsi="Times New Roman"/>
          <w:sz w:val="20"/>
        </w:rPr>
        <w:t>Estimating range is therefore hard for three compounding reasons. First, the virtual height itself is uncertain: it is a functional of the whole profile, and the profile is what the ionospheric model must supply. Second, the ionosphere is not horizontally uniform, so the profile that governs reflection is not the profile above the receiver. Third, during disturbed conditions the F2-layer height and critical frequency vary on timescales of minutes, so any climatological average is stale at the moment of measurement. Each effect propagates directly into hᵥ and hence into D through the tangent relation, where the error is further amplified at low elevation angles.</w:t>
      </w:r>
    </w:p>
    <w:p>
      <w:pPr>
        <w:spacing w:after="80" w:before="0" w:line="240" w:lineRule="auto"/>
        <w:ind w:firstLine="259"/>
        <w:jc w:val="both"/>
      </w:pPr>
      <w:r>
        <w:rPr>
          <w:rFonts w:ascii="Times New Roman" w:hAnsi="Times New Roman"/>
          <w:sz w:val="20"/>
        </w:rPr>
        <w:t>A structural limitation of naive SSL compounds these: the ionosphere is sampled only at the receiver, whereas the physically relevant reflection point lies roughly halfway to the emitter. Where horizontal gradients in electron density exist—the common case—a single receiver-side ionospheric call introduces a systematic range bias rather than zero-mean noise. Section III addresses the sampling-point error with a two-pass re-query, and Section V addresses the remaining structured bias with a learned correction.</w:t>
      </w:r>
    </w:p>
    <w:p>
      <w:pPr>
        <w:spacing w:before="160" w:after="60"/>
        <w:jc w:val="center"/>
      </w:pPr>
      <w:r>
        <w:rPr>
          <w:rFonts w:ascii="Times New Roman" w:hAnsi="Times New Roman"/>
          <w:smallCaps/>
          <w:sz w:val="20"/>
        </w:rPr>
        <w:t>III.  SYSTEM ARCHITECTURE</w:t>
      </w:r>
    </w:p>
    <w:p>
      <w:pPr>
        <w:spacing w:after="80" w:before="0" w:line="240" w:lineRule="auto"/>
        <w:ind w:firstLine="259"/>
        <w:jc w:val="both"/>
      </w:pPr>
      <w:r>
        <w:rPr>
          <w:rFonts w:ascii="Times New Roman" w:hAnsi="Times New Roman"/>
          <w:sz w:val="20"/>
        </w:rPr>
        <w:t>The pipeline has three layers (Fig. 1). Layer 1 selects the most appropriate ionospheric model for the current geomagnetic conditions and returns a profile. Layer 2 runs a two-pass SSL computation that converts elevation angle to ground range, re-querying the ionosphere at the reflection point. Layer 3 applies a Gaussian-process correction trained on real residuals to remove the systematic SSL bias. A FastAPI service wraps the pipeline behind two endpoints.</w:t>
      </w:r>
    </w:p>
    <w:p>
      <w:pPr>
        <w:spacing w:before="80" w:after="20"/>
        <w:jc w:val="center"/>
      </w:pPr>
      <w:r>
        <w:drawing>
          <wp:inline xmlns:a="http://schemas.openxmlformats.org/drawingml/2006/main" xmlns:pic="http://schemas.openxmlformats.org/drawingml/2006/picture">
            <wp:extent cx="3017520" cy="2308707"/>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3017520" cy="2308707"/>
                    </a:xfrm>
                    <a:prstGeom prst="rect"/>
                  </pic:spPr>
                </pic:pic>
              </a:graphicData>
            </a:graphic>
          </wp:inline>
        </w:drawing>
      </w:r>
    </w:p>
    <w:p>
      <w:pPr>
        <w:spacing w:after="120"/>
        <w:jc w:val="center"/>
      </w:pPr>
      <w:r>
        <w:rPr>
          <w:rFonts w:ascii="Times New Roman" w:hAnsi="Times New Roman"/>
          <w:sz w:val="16"/>
        </w:rPr>
        <w:t>Fig. 1.  Three-layer pipeline: hybrid model selector, two-pass SSL, and per-population GP correction.</w:t>
      </w:r>
    </w:p>
    <w:p>
      <w:pPr>
        <w:spacing w:before="80" w:after="40"/>
      </w:pPr>
      <w:r>
        <w:rPr>
          <w:rFonts w:ascii="Times New Roman" w:hAnsi="Times New Roman"/>
          <w:i/>
          <w:sz w:val="20"/>
        </w:rPr>
        <w:t xml:space="preserve">A. </w:t>
      </w:r>
      <w:r>
        <w:rPr>
          <w:rFonts w:ascii="Times New Roman" w:hAnsi="Times New Roman"/>
          <w:i/>
          <w:sz w:val="20"/>
        </w:rPr>
        <w:t>Two-pass SSL</w:t>
      </w:r>
    </w:p>
    <w:p>
      <w:pPr>
        <w:spacing w:after="80" w:before="0" w:line="240" w:lineRule="auto"/>
        <w:ind w:firstLine="259"/>
        <w:jc w:val="both"/>
      </w:pPr>
      <w:r>
        <w:rPr>
          <w:rFonts w:ascii="Times New Roman" w:hAnsi="Times New Roman"/>
          <w:sz w:val="20"/>
        </w:rPr>
        <w:t>The first pass computes a rough range using the ionospheric profile at the receiver, then projects the emitter position along the azimuth. The midpoint between receiver and rough emitter approximates the reflection (bounce) point. The second pass re-queries the ionospheric model at that midpoint and recomputes the range from the reflection-point profile. Querying the model where the ray actually reflects, rather than at the receiver, captures the horizontal electron-density gradient that would otherwise bias the estimate (Fig. 2). The transmitter location is then obtained by moving along the great-circle path from the receiver at the measured azimuth for the computed ground range, using spherical-Earth geometry.</w:t>
      </w:r>
    </w:p>
    <w:p>
      <w:pPr>
        <w:spacing w:before="80" w:after="20"/>
        <w:jc w:val="center"/>
      </w:pPr>
      <w:r>
        <w:drawing>
          <wp:inline xmlns:a="http://schemas.openxmlformats.org/drawingml/2006/main" xmlns:pic="http://schemas.openxmlformats.org/drawingml/2006/picture">
            <wp:extent cx="3017520" cy="1889205"/>
            <wp:docPr id="2" name="Picture 2"/>
            <wp:cNvGraphicFramePr>
              <a:graphicFrameLocks noChangeAspect="1"/>
            </wp:cNvGraphicFramePr>
            <a:graphic>
              <a:graphicData uri="http://schemas.openxmlformats.org/drawingml/2006/picture">
                <pic:pic>
                  <pic:nvPicPr>
                    <pic:cNvPr id="0" name="fig2_ssl.png"/>
                    <pic:cNvPicPr/>
                  </pic:nvPicPr>
                  <pic:blipFill>
                    <a:blip r:embed="rId10"/>
                    <a:stretch>
                      <a:fillRect/>
                    </a:stretch>
                  </pic:blipFill>
                  <pic:spPr>
                    <a:xfrm>
                      <a:off x="0" y="0"/>
                      <a:ext cx="3017520" cy="1889205"/>
                    </a:xfrm>
                    <a:prstGeom prst="rect"/>
                  </pic:spPr>
                </pic:pic>
              </a:graphicData>
            </a:graphic>
          </wp:inline>
        </w:drawing>
      </w:r>
    </w:p>
    <w:p>
      <w:pPr>
        <w:spacing w:after="120"/>
        <w:jc w:val="center"/>
      </w:pPr>
      <w:r>
        <w:rPr>
          <w:rFonts w:ascii="Times New Roman" w:hAnsi="Times New Roman"/>
          <w:sz w:val="16"/>
        </w:rPr>
        <w:t>Fig. 2.  Single-hop SSL geometry. The second pass re-queries the ionosphere at the midpoint reflection point.</w:t>
      </w:r>
    </w:p>
    <w:p>
      <w:pPr>
        <w:spacing w:after="80" w:before="0" w:line="240" w:lineRule="auto"/>
        <w:ind w:firstLine="259"/>
        <w:jc w:val="both"/>
      </w:pPr>
      <w:r>
        <w:rPr>
          <w:rFonts w:ascii="Times New Roman" w:hAnsi="Times New Roman"/>
          <w:sz w:val="20"/>
        </w:rPr>
        <w:t>Virtual height is extracted differently per model. For PyRayHF the ray-traced virtual_height_km is used directly, since the ray tracer computes the apparent reflection height explicitly. For IRTAM, IRI, and A-CHAIM the F2-peak height hmF2 is used as a proxy. Two guards protect this step. If the extracted height is null, zero, NaN, or otherwise non-positive, the service returns HTTP 503 rather than letting a nonsensical or infinite location propagate (the D2 null-profile guard). And because tan(0°) = 0 would produce infinite range, the request validator enforces an elevation angle of at least 1.0° and rejects angles above 60°, which lie outside the typical HF skywave geometry on which the system was validated.</w:t>
      </w:r>
    </w:p>
    <w:p>
      <w:pPr>
        <w:spacing w:before="80" w:after="40"/>
      </w:pPr>
      <w:r>
        <w:rPr>
          <w:rFonts w:ascii="Times New Roman" w:hAnsi="Times New Roman"/>
          <w:i/>
          <w:sz w:val="20"/>
        </w:rPr>
        <w:t xml:space="preserve">B. </w:t>
      </w:r>
      <w:r>
        <w:rPr>
          <w:rFonts w:ascii="Times New Roman" w:hAnsi="Times New Roman"/>
          <w:i/>
          <w:sz w:val="20"/>
        </w:rPr>
        <w:t>Service layer</w:t>
      </w:r>
    </w:p>
    <w:p>
      <w:pPr>
        <w:spacing w:after="80" w:before="0" w:line="240" w:lineRule="auto"/>
        <w:ind w:firstLine="259"/>
        <w:jc w:val="both"/>
      </w:pPr>
      <w:r>
        <w:rPr>
          <w:rFonts w:ascii="Times New Roman" w:hAnsi="Times New Roman"/>
          <w:sz w:val="20"/>
        </w:rPr>
        <w:t>A FastAPI service exposes the pipeline. POST /locate accepts the receiver position, azimuth, elevation, frequency, timestamp, and geomagnetic indices (Kp, Dst, optional F10.7), and returns the SSL physics estimate, the GP-corrected estimate with posterior uncertainty, the model audit trail, and warning flags. GET /health confirms that all four GP model files loaded at start-up and reports the training row counts (7,382 for the IRTAM GP, 52 for the storm GP) for pre-demonstration verification. Input validation rejects out-of-range fields with HTTP 422; a null or non-positive virtual height returns HTTP 503 rather than a nonsensical location.</w:t>
      </w:r>
    </w:p>
    <w:p>
      <w:pPr>
        <w:spacing w:before="160" w:after="60"/>
        <w:jc w:val="center"/>
      </w:pPr>
      <w:r>
        <w:rPr>
          <w:rFonts w:ascii="Times New Roman" w:hAnsi="Times New Roman"/>
          <w:smallCaps/>
          <w:sz w:val="20"/>
        </w:rPr>
        <w:t>IV.  HYBRID IONOSPHERIC MODEL SELECTOR</w:t>
      </w:r>
    </w:p>
    <w:p>
      <w:pPr>
        <w:spacing w:after="80" w:before="0" w:line="240" w:lineRule="auto"/>
        <w:ind w:firstLine="259"/>
        <w:jc w:val="both"/>
      </w:pPr>
      <w:r>
        <w:rPr>
          <w:rFonts w:ascii="Times New Roman" w:hAnsi="Times New Roman"/>
          <w:sz w:val="20"/>
        </w:rPr>
        <w:t>Layer 1 evaluates four conditions in strict priority order and commits to the first match (verified in models/hybrid_selector.py):</w:t>
      </w:r>
    </w:p>
    <w:p>
      <w:pPr>
        <w:spacing w:after="60"/>
        <w:ind w:left="173"/>
        <w:jc w:val="both"/>
      </w:pPr>
      <w:r>
        <w:rPr>
          <w:rFonts w:ascii="Times New Roman" w:hAnsi="Times New Roman"/>
          <w:sz w:val="20"/>
        </w:rPr>
        <w:t>1) PyRayHF (storm slot): selected when Kp ≥ 5 or Dst ≤ −100 nT. PyRayHF ray-traces a virtual height by injecting an IRI electron-density profile into the Appleton–Hartree formulation and returns virtual height directly, rather than deriving it from the F2-peak height. The SAMI3 first-principles model is not integrated; PyRayHF is the storm-time proxy in this slot.</w:t>
      </w:r>
    </w:p>
    <w:p>
      <w:pPr>
        <w:spacing w:after="60"/>
        <w:ind w:left="173"/>
        <w:jc w:val="both"/>
      </w:pPr>
      <w:r>
        <w:rPr>
          <w:rFonts w:ascii="Times New Roman" w:hAnsi="Times New Roman"/>
          <w:sz w:val="20"/>
        </w:rPr>
        <w:t>2) A-CHAIM v6.0.3 (high-latitude slot): selected when |lat| ≥ 60°. An empirical auroral model from NRCan, invoked as an external executable. At AH223 (23°N) it never fires; it is present for polar or sub-polar deployment completeness.</w:t>
      </w:r>
    </w:p>
    <w:p>
      <w:pPr>
        <w:spacing w:after="60"/>
        <w:ind w:left="173"/>
        <w:jc w:val="both"/>
      </w:pPr>
      <w:r>
        <w:rPr>
          <w:rFonts w:ascii="Times New Roman" w:hAnsi="Times New Roman"/>
          <w:sz w:val="20"/>
        </w:rPr>
        <w:t>3) PyIRTAM (assimilated nominal): the highest-quality model for nominal mid-latitude conditions when local date-specific coefficient files are present.</w:t>
      </w:r>
    </w:p>
    <w:p>
      <w:pPr>
        <w:spacing w:after="60"/>
        <w:ind w:left="173"/>
        <w:jc w:val="both"/>
      </w:pPr>
      <w:r>
        <w:rPr>
          <w:rFonts w:ascii="Times New Roman" w:hAnsi="Times New Roman"/>
          <w:sz w:val="20"/>
        </w:rPr>
        <w:t>4) IRI-2016 (calm fallback): always available; depends on no external files.</w:t>
      </w:r>
    </w:p>
    <w:p>
      <w:pPr>
        <w:spacing w:after="80" w:before="0" w:line="240" w:lineRule="auto"/>
        <w:ind w:firstLine="259"/>
        <w:jc w:val="both"/>
      </w:pPr>
      <w:r>
        <w:rPr>
          <w:rFonts w:ascii="Times New Roman" w:hAnsi="Times New Roman"/>
          <w:sz w:val="20"/>
        </w:rPr>
        <w:t>Each non-IRI branch checks whether its wrapper produced a usable profile before committing. If the profile is null or incomplete, the system logs a warning and re-queries IRI. This runtime fallback is why two distinct fields appear in every response: selected_model records the selector's original intent, while model_used records the model that actually produced the profile. The two differ when, for example, IRTAM is selected but its coefficient files are missing and IRI is used instead. Preserving this distinction (the D1 fix) is essential: the GP correction must route on model_used, not selected_model, or it will apply the wrong population's correction.</w:t>
      </w:r>
    </w:p>
    <w:p>
      <w:pPr>
        <w:spacing w:after="80" w:before="0" w:line="240" w:lineRule="auto"/>
        <w:ind w:firstLine="259"/>
        <w:jc w:val="both"/>
      </w:pPr>
      <w:r>
        <w:rPr>
          <w:rFonts w:ascii="Times New Roman" w:hAnsi="Times New Roman"/>
          <w:sz w:val="20"/>
        </w:rPr>
        <w:t>A concrete fallback illustrates why the audit trail matters. Suppose conditions are nominal and the caller sets irtam_available = true, so the selector chooses IRTAM (selected_model = "IRTAM"). If the local coefficient files for the requested date are absent, the IRTAM wrapper returns null fields, the pipeline re-queries IRI, and model_used becomes "IRI". Before the D1 fix both fields were set to the same value, fallbacks were silent, and the GP routed on the wrong population. A-CHAIM is similar in spirit: it is invoked as an external executable whose paths are supplied through the ACHAIM_EXE_PATH and ACHAIM_DB_PATH environment variables, and a misconfigured path falls back to IRI as well.</w:t>
      </w:r>
    </w:p>
    <w:p>
      <w:pPr>
        <w:spacing w:after="80" w:before="0" w:line="240" w:lineRule="auto"/>
        <w:ind w:firstLine="259"/>
        <w:jc w:val="both"/>
      </w:pPr>
      <w:r>
        <w:rPr>
          <w:rFonts w:ascii="Times New Roman" w:hAnsi="Times New Roman"/>
          <w:sz w:val="20"/>
        </w:rPr>
        <w:t>A maximum-usable-frequency (MUF) guard (the D12 fix) compares the request frequency against foF2, the critical frequency of the F2 layer extracted from the second-pass profile. If frequency_mhz exceeds foF2 the signal would penetrate rather than reflect, invalidating the SSL geometry; the response sets muf_warning = true and appends a note to the GP-correction field so the operator can discount the estimate.</w:t>
      </w:r>
    </w:p>
    <w:p>
      <w:pPr>
        <w:spacing w:before="160" w:after="60"/>
        <w:jc w:val="center"/>
      </w:pPr>
      <w:r>
        <w:rPr>
          <w:rFonts w:ascii="Times New Roman" w:hAnsi="Times New Roman"/>
          <w:smallCaps/>
          <w:sz w:val="20"/>
        </w:rPr>
        <w:t>V.  GAUSSIAN-PROCESS CORRECTION LAYER</w:t>
      </w:r>
    </w:p>
    <w:p>
      <w:pPr>
        <w:spacing w:after="80" w:before="0" w:line="240" w:lineRule="auto"/>
        <w:ind w:firstLine="259"/>
        <w:jc w:val="both"/>
      </w:pPr>
      <w:r>
        <w:rPr>
          <w:rFonts w:ascii="Times New Roman" w:hAnsi="Times New Roman"/>
          <w:sz w:val="20"/>
        </w:rPr>
        <w:t>The physics-only SSL estimate carries a systematic bias because the ionosphere departs from the SSL assumptions (horizontal uniformity, single reflection, no ray bending). This bias is learnable: given the same geometry and conditions, it tends to repeat. Layer 3 trains a Gaussian process on real residuals—the difference between the SSL estimate and the known emitter location—and adds the predicted residual back at inference time, together with a posterior standard deviation.</w:t>
      </w:r>
    </w:p>
    <w:p>
      <w:pPr>
        <w:spacing w:before="80" w:after="40"/>
      </w:pPr>
      <w:r>
        <w:rPr>
          <w:rFonts w:ascii="Times New Roman" w:hAnsi="Times New Roman"/>
          <w:i/>
          <w:sz w:val="20"/>
        </w:rPr>
        <w:t xml:space="preserve">A. </w:t>
      </w:r>
      <w:r>
        <w:rPr>
          <w:rFonts w:ascii="Times New Roman" w:hAnsi="Times New Roman"/>
          <w:i/>
          <w:sz w:val="20"/>
        </w:rPr>
        <w:t>Feature vector</w:t>
      </w:r>
    </w:p>
    <w:p>
      <w:pPr>
        <w:spacing w:after="80" w:before="0" w:line="240" w:lineRule="auto"/>
        <w:ind w:firstLine="259"/>
        <w:jc w:val="both"/>
      </w:pPr>
      <w:r>
        <w:rPr>
          <w:rFonts w:ascii="Times New Roman" w:hAnsi="Times New Roman"/>
          <w:sz w:val="20"/>
        </w:rPr>
        <w:t>Each GP consumes a ten-element feature vector, in order: azimuth_deg, elevation_deg, frequency_mhz, virtual_height_km, Kp, Dst, hour-of-day, month-of-year, baseline latitude, and baseline longitude. The baseline latitude and longitude are the SSL physics estimate of the emitter position; hour and month are extracted from the timestamp. Separate GP pairs predict the latitude and longitude residuals.</w:t>
      </w:r>
    </w:p>
    <w:p>
      <w:pPr>
        <w:spacing w:before="80" w:after="40"/>
      </w:pPr>
      <w:r>
        <w:rPr>
          <w:rFonts w:ascii="Times New Roman" w:hAnsi="Times New Roman"/>
          <w:i/>
          <w:sz w:val="20"/>
        </w:rPr>
        <w:t xml:space="preserve">B. </w:t>
      </w:r>
      <w:r>
        <w:rPr>
          <w:rFonts w:ascii="Times New Roman" w:hAnsi="Times New Roman"/>
          <w:i/>
          <w:sz w:val="20"/>
        </w:rPr>
        <w:t>Per-population routing</w:t>
      </w:r>
    </w:p>
    <w:p>
      <w:pPr>
        <w:spacing w:after="80" w:before="0" w:line="240" w:lineRule="auto"/>
        <w:ind w:firstLine="259"/>
        <w:jc w:val="both"/>
      </w:pPr>
      <w:r>
        <w:rPr>
          <w:rFonts w:ascii="Times New Roman" w:hAnsi="Times New Roman"/>
          <w:sz w:val="20"/>
        </w:rPr>
        <w:t>IRTAM and storm (PyRayHF) rows have structurally different error patterns. IRTAM residuals under nominal conditions are small and spatially smooth; storm residuals are large and behave differently. Training both populations into a single GP collapses the latitude kernel—the length scale drops toward zero and the noise floor dominates—destroying the correction. The fix is two separate GP pairs, one per population, routed at inference time on model_used. IRI and A-CHAIM branches have too few samples to train a reliable GP, so for those the correction is reported as not_applied.</w:t>
      </w:r>
    </w:p>
    <w:p>
      <w:pPr>
        <w:spacing w:before="80" w:after="40"/>
      </w:pPr>
      <w:r>
        <w:rPr>
          <w:rFonts w:ascii="Times New Roman" w:hAnsi="Times New Roman"/>
          <w:i/>
          <w:sz w:val="20"/>
        </w:rPr>
        <w:t xml:space="preserve">C. </w:t>
      </w:r>
      <w:r>
        <w:rPr>
          <w:rFonts w:ascii="Times New Roman" w:hAnsi="Times New Roman"/>
          <w:i/>
          <w:sz w:val="20"/>
        </w:rPr>
        <w:t>Training data and split</w:t>
      </w:r>
    </w:p>
    <w:p>
      <w:pPr>
        <w:spacing w:after="80" w:before="0" w:line="240" w:lineRule="auto"/>
        <w:ind w:firstLine="259"/>
        <w:jc w:val="both"/>
      </w:pPr>
      <w:r>
        <w:rPr>
          <w:rFonts w:ascii="Times New Roman" w:hAnsi="Times New Roman"/>
          <w:sz w:val="20"/>
        </w:rPr>
        <w:t>The GPs are trained on residuals from the GIRO AH223 Ahmedabad ionosonde (23.0°N, 72.6°E) for June, July, and December 2012—the Solar Cycle 24 peak. An 80/20 train/test split (random seed 42) is applied within each population separately, so test-fold figures never include rows seen during training.</w:t>
      </w:r>
    </w:p>
    <w:p>
      <w:pPr>
        <w:spacing w:before="80" w:after="40"/>
      </w:pPr>
      <w:r>
        <w:rPr>
          <w:rFonts w:ascii="Times New Roman" w:hAnsi="Times New Roman"/>
          <w:i/>
          <w:sz w:val="20"/>
        </w:rPr>
        <w:t xml:space="preserve">D. </w:t>
      </w:r>
      <w:r>
        <w:rPr>
          <w:rFonts w:ascii="Times New Roman" w:hAnsi="Times New Roman"/>
          <w:i/>
          <w:sz w:val="20"/>
        </w:rPr>
        <w:t>Uncertainty output</w:t>
      </w:r>
    </w:p>
    <w:p>
      <w:pPr>
        <w:spacing w:after="80" w:before="0" w:line="240" w:lineRule="auto"/>
        <w:ind w:firstLine="259"/>
        <w:jc w:val="both"/>
      </w:pPr>
      <w:r>
        <w:rPr>
          <w:rFonts w:ascii="Times New Roman" w:hAnsi="Times New Roman"/>
          <w:sz w:val="20"/>
        </w:rPr>
        <w:t>Each GP prediction carries a posterior standard deviation for the latitude and longitude residual. The service exposes these as uncertainty_lat_deg and uncertainty_lon_deg and combines them into a single correction_std_km by root-sum-square, accounting for the cos(lat) compression of longitude: sqrt((σ_lat·111)² + (σ_lon·111·cos lat)²). These are the GP's confidence about its own residual prediction, not end-to-end location-error bounds; the true error also includes whatever bias the GP has not learned.</w:t>
      </w:r>
    </w:p>
    <w:p>
      <w:pPr>
        <w:spacing w:before="80" w:after="40"/>
      </w:pPr>
      <w:r>
        <w:rPr>
          <w:rFonts w:ascii="Times New Roman" w:hAnsi="Times New Roman"/>
          <w:i/>
          <w:sz w:val="20"/>
        </w:rPr>
        <w:t xml:space="preserve">E. </w:t>
      </w:r>
      <w:r>
        <w:rPr>
          <w:rFonts w:ascii="Times New Roman" w:hAnsi="Times New Roman"/>
          <w:i/>
          <w:sz w:val="20"/>
        </w:rPr>
        <w:t>Out-of-distribution warning</w:t>
      </w:r>
    </w:p>
    <w:p>
      <w:pPr>
        <w:spacing w:after="80" w:before="0" w:line="240" w:lineRule="auto"/>
        <w:ind w:firstLine="259"/>
        <w:jc w:val="both"/>
      </w:pPr>
      <w:r>
        <w:rPr>
          <w:rFonts w:ascii="Times New Roman" w:hAnsi="Times New Roman"/>
          <w:sz w:val="20"/>
        </w:rPr>
        <w:t>Because the GP was trained on a narrow distribution, requests outside it are flagged with ood_warning = true. The check fires when the observation month is not in {June, July, December} or the estimated transmitter latitude falls outside 15–35°N. The check runs on the estimated transmitter latitude—the variable the GP was trained on—not the receiver latitude (the D11 fix). When the flag is set, the GP posterior uncertainty should be read as a lower bound on the true error, because the model is extrapolating beyond the support of its training data.</w:t>
      </w:r>
    </w:p>
    <w:p>
      <w:pPr>
        <w:spacing w:before="160" w:after="60"/>
        <w:jc w:val="center"/>
      </w:pPr>
      <w:r>
        <w:rPr>
          <w:rFonts w:ascii="Times New Roman" w:hAnsi="Times New Roman"/>
          <w:smallCaps/>
          <w:sz w:val="20"/>
        </w:rPr>
        <w:t>VI.  VALIDATION AND RESULTS</w:t>
      </w:r>
    </w:p>
    <w:p>
      <w:pPr>
        <w:spacing w:after="80" w:before="0" w:line="240" w:lineRule="auto"/>
        <w:ind w:firstLine="259"/>
        <w:jc w:val="both"/>
      </w:pPr>
      <w:r>
        <w:rPr>
          <w:rFonts w:ascii="Times New Roman" w:hAnsi="Times New Roman"/>
          <w:sz w:val="20"/>
        </w:rPr>
        <w:t>The dataset comprises 9,457 residual rows from AH223, dominated by the nominal IRTAM population (Table I). Storm-condition rows were regenerated after the D8 fix with the ray tracer at each row's request frequency: 163 of the 229 storm-condition rows penetrate the disturbed ionosphere at their drawn frequency (no skywave return) and fall back to IRI, where no GP applies; the reflecting 66 form the storm GP population. The 80/20 split within each GP population yields the train/test row counts in Table I.</w:t>
      </w:r>
    </w:p>
    <w:p>
      <w:pPr>
        <w:spacing w:before="120" w:after="40"/>
        <w:jc w:val="center"/>
      </w:pPr>
      <w:r>
        <w:rPr>
          <w:rFonts w:ascii="Times New Roman" w:hAnsi="Times New Roman"/>
          <w:smallCaps/>
          <w:sz w:val="16"/>
        </w:rPr>
        <w:t>Table I.  Dataset Composition and Train/Test Split (post-D8)</w:t>
      </w:r>
    </w:p>
    <w:tbl>
      <w:tblPr>
        <w:tblStyle w:val="TableGrid"/>
        <w:tblW w:type="auto" w:w="0"/>
        <w:jc w:val="center"/>
        <w:tblLayout w:type="fixed"/>
        <w:tblLook w:firstColumn="1" w:firstRow="1" w:lastColumn="0" w:lastRow="0" w:noHBand="0" w:noVBand="1" w:val="04A0"/>
      </w:tblPr>
      <w:tblGrid>
        <w:gridCol w:w="2088"/>
        <w:gridCol w:w="2088"/>
        <w:gridCol w:w="2088"/>
        <w:gridCol w:w="2088"/>
        <w:gridCol w:w="2088"/>
      </w:tblGrid>
      <w:tr>
        <w:tc>
          <w:tcPr>
            <w:tcW w:type="dxa" w:w="2088"/>
          </w:tcPr>
          <w:p>
            <w:pPr>
              <w:spacing w:before="20" w:after="20"/>
              <w:jc w:val="left"/>
            </w:pPr>
            <w:r>
              <w:rPr>
                <w:rFonts w:ascii="Times New Roman" w:hAnsi="Times New Roman"/>
                <w:b/>
                <w:sz w:val="15"/>
              </w:rPr>
              <w:t>Population</w:t>
            </w:r>
          </w:p>
        </w:tc>
        <w:tc>
          <w:tcPr>
            <w:tcW w:type="dxa" w:w="720"/>
          </w:tcPr>
          <w:p>
            <w:pPr>
              <w:spacing w:before="20" w:after="20"/>
              <w:jc w:val="center"/>
            </w:pPr>
            <w:r>
              <w:rPr>
                <w:rFonts w:ascii="Times New Roman" w:hAnsi="Times New Roman"/>
                <w:b/>
                <w:sz w:val="15"/>
              </w:rPr>
              <w:t>Total</w:t>
            </w:r>
          </w:p>
        </w:tc>
        <w:tc>
          <w:tcPr>
            <w:tcW w:type="dxa" w:w="720"/>
          </w:tcPr>
          <w:p>
            <w:pPr>
              <w:spacing w:before="20" w:after="20"/>
              <w:jc w:val="center"/>
            </w:pPr>
            <w:r>
              <w:rPr>
                <w:rFonts w:ascii="Times New Roman" w:hAnsi="Times New Roman"/>
                <w:b/>
                <w:sz w:val="15"/>
              </w:rPr>
              <w:t>Share</w:t>
            </w:r>
          </w:p>
        </w:tc>
        <w:tc>
          <w:tcPr>
            <w:tcW w:type="dxa" w:w="720"/>
          </w:tcPr>
          <w:p>
            <w:pPr>
              <w:spacing w:before="20" w:after="20"/>
              <w:jc w:val="center"/>
            </w:pPr>
            <w:r>
              <w:rPr>
                <w:rFonts w:ascii="Times New Roman" w:hAnsi="Times New Roman"/>
                <w:b/>
                <w:sz w:val="15"/>
              </w:rPr>
              <w:t>Train</w:t>
            </w:r>
          </w:p>
        </w:tc>
        <w:tc>
          <w:tcPr>
            <w:tcW w:type="dxa" w:w="648"/>
          </w:tcPr>
          <w:p>
            <w:pPr>
              <w:spacing w:before="20" w:after="20"/>
              <w:jc w:val="center"/>
            </w:pPr>
            <w:r>
              <w:rPr>
                <w:rFonts w:ascii="Times New Roman" w:hAnsi="Times New Roman"/>
                <w:b/>
                <w:sz w:val="15"/>
              </w:rPr>
              <w:t>Test</w:t>
            </w:r>
          </w:p>
        </w:tc>
      </w:tr>
      <w:tr>
        <w:tc>
          <w:tcPr>
            <w:tcW w:type="dxa" w:w="2088"/>
          </w:tcPr>
          <w:p>
            <w:pPr>
              <w:spacing w:before="20" w:after="20"/>
              <w:jc w:val="left"/>
            </w:pPr>
            <w:r>
              <w:rPr>
                <w:rFonts w:ascii="Times New Roman" w:hAnsi="Times New Roman"/>
                <w:b w:val="0"/>
                <w:sz w:val="15"/>
              </w:rPr>
              <w:t>IRTAM (nominal)</w:t>
            </w:r>
          </w:p>
        </w:tc>
        <w:tc>
          <w:tcPr>
            <w:tcW w:type="dxa" w:w="720"/>
          </w:tcPr>
          <w:p>
            <w:pPr>
              <w:spacing w:before="20" w:after="20"/>
              <w:jc w:val="center"/>
            </w:pPr>
            <w:r>
              <w:rPr>
                <w:rFonts w:ascii="Times New Roman" w:hAnsi="Times New Roman"/>
                <w:b w:val="0"/>
                <w:sz w:val="15"/>
              </w:rPr>
              <w:t>9,228</w:t>
            </w:r>
          </w:p>
        </w:tc>
        <w:tc>
          <w:tcPr>
            <w:tcW w:type="dxa" w:w="720"/>
          </w:tcPr>
          <w:p>
            <w:pPr>
              <w:spacing w:before="20" w:after="20"/>
              <w:jc w:val="center"/>
            </w:pPr>
            <w:r>
              <w:rPr>
                <w:rFonts w:ascii="Times New Roman" w:hAnsi="Times New Roman"/>
                <w:b w:val="0"/>
                <w:sz w:val="15"/>
              </w:rPr>
              <w:t>97.6%</w:t>
            </w:r>
          </w:p>
        </w:tc>
        <w:tc>
          <w:tcPr>
            <w:tcW w:type="dxa" w:w="720"/>
          </w:tcPr>
          <w:p>
            <w:pPr>
              <w:spacing w:before="20" w:after="20"/>
              <w:jc w:val="center"/>
            </w:pPr>
            <w:r>
              <w:rPr>
                <w:rFonts w:ascii="Times New Roman" w:hAnsi="Times New Roman"/>
                <w:b w:val="0"/>
                <w:sz w:val="15"/>
              </w:rPr>
              <w:t>7,382</w:t>
            </w:r>
          </w:p>
        </w:tc>
        <w:tc>
          <w:tcPr>
            <w:tcW w:type="dxa" w:w="648"/>
          </w:tcPr>
          <w:p>
            <w:pPr>
              <w:spacing w:before="20" w:after="20"/>
              <w:jc w:val="center"/>
            </w:pPr>
            <w:r>
              <w:rPr>
                <w:rFonts w:ascii="Times New Roman" w:hAnsi="Times New Roman"/>
                <w:b w:val="0"/>
                <w:sz w:val="15"/>
              </w:rPr>
              <w:t>1,846</w:t>
            </w:r>
          </w:p>
        </w:tc>
      </w:tr>
      <w:tr>
        <w:tc>
          <w:tcPr>
            <w:tcW w:type="dxa" w:w="2088"/>
          </w:tcPr>
          <w:p>
            <w:pPr>
              <w:spacing w:before="20" w:after="20"/>
              <w:jc w:val="left"/>
            </w:pPr>
            <w:r>
              <w:rPr>
                <w:rFonts w:ascii="Times New Roman" w:hAnsi="Times New Roman"/>
                <w:b w:val="0"/>
                <w:sz w:val="15"/>
              </w:rPr>
              <w:t>PyRayHF (storm, reflecting)</w:t>
            </w:r>
          </w:p>
        </w:tc>
        <w:tc>
          <w:tcPr>
            <w:tcW w:type="dxa" w:w="720"/>
          </w:tcPr>
          <w:p>
            <w:pPr>
              <w:spacing w:before="20" w:after="20"/>
              <w:jc w:val="center"/>
            </w:pPr>
            <w:r>
              <w:rPr>
                <w:rFonts w:ascii="Times New Roman" w:hAnsi="Times New Roman"/>
                <w:b w:val="0"/>
                <w:sz w:val="15"/>
              </w:rPr>
              <w:t>66</w:t>
            </w:r>
          </w:p>
        </w:tc>
        <w:tc>
          <w:tcPr>
            <w:tcW w:type="dxa" w:w="720"/>
          </w:tcPr>
          <w:p>
            <w:pPr>
              <w:spacing w:before="20" w:after="20"/>
              <w:jc w:val="center"/>
            </w:pPr>
            <w:r>
              <w:rPr>
                <w:rFonts w:ascii="Times New Roman" w:hAnsi="Times New Roman"/>
                <w:b w:val="0"/>
                <w:sz w:val="15"/>
              </w:rPr>
              <w:t>0.7%</w:t>
            </w:r>
          </w:p>
        </w:tc>
        <w:tc>
          <w:tcPr>
            <w:tcW w:type="dxa" w:w="720"/>
          </w:tcPr>
          <w:p>
            <w:pPr>
              <w:spacing w:before="20" w:after="20"/>
              <w:jc w:val="center"/>
            </w:pPr>
            <w:r>
              <w:rPr>
                <w:rFonts w:ascii="Times New Roman" w:hAnsi="Times New Roman"/>
                <w:b w:val="0"/>
                <w:sz w:val="15"/>
              </w:rPr>
              <w:t>52</w:t>
            </w:r>
          </w:p>
        </w:tc>
        <w:tc>
          <w:tcPr>
            <w:tcW w:type="dxa" w:w="648"/>
          </w:tcPr>
          <w:p>
            <w:pPr>
              <w:spacing w:before="20" w:after="20"/>
              <w:jc w:val="center"/>
            </w:pPr>
            <w:r>
              <w:rPr>
                <w:rFonts w:ascii="Times New Roman" w:hAnsi="Times New Roman"/>
                <w:b w:val="0"/>
                <w:sz w:val="15"/>
              </w:rPr>
              <w:t>14</w:t>
            </w:r>
          </w:p>
        </w:tc>
      </w:tr>
      <w:tr>
        <w:tc>
          <w:tcPr>
            <w:tcW w:type="dxa" w:w="2088"/>
          </w:tcPr>
          <w:p>
            <w:pPr>
              <w:spacing w:before="20" w:after="20"/>
              <w:jc w:val="left"/>
            </w:pPr>
            <w:r>
              <w:rPr>
                <w:rFonts w:ascii="Times New Roman" w:hAnsi="Times New Roman"/>
                <w:b w:val="0"/>
                <w:sz w:val="15"/>
              </w:rPr>
              <w:t>IRI (storm rows that penetrate)</w:t>
            </w:r>
          </w:p>
        </w:tc>
        <w:tc>
          <w:tcPr>
            <w:tcW w:type="dxa" w:w="720"/>
          </w:tcPr>
          <w:p>
            <w:pPr>
              <w:spacing w:before="20" w:after="20"/>
              <w:jc w:val="center"/>
            </w:pPr>
            <w:r>
              <w:rPr>
                <w:rFonts w:ascii="Times New Roman" w:hAnsi="Times New Roman"/>
                <w:b w:val="0"/>
                <w:sz w:val="15"/>
              </w:rPr>
              <w:t>163</w:t>
            </w:r>
          </w:p>
        </w:tc>
        <w:tc>
          <w:tcPr>
            <w:tcW w:type="dxa" w:w="720"/>
          </w:tcPr>
          <w:p>
            <w:pPr>
              <w:spacing w:before="20" w:after="20"/>
              <w:jc w:val="center"/>
            </w:pPr>
            <w:r>
              <w:rPr>
                <w:rFonts w:ascii="Times New Roman" w:hAnsi="Times New Roman"/>
                <w:b w:val="0"/>
                <w:sz w:val="15"/>
              </w:rPr>
              <w:t>1.7%</w:t>
            </w:r>
          </w:p>
        </w:tc>
        <w:tc>
          <w:tcPr>
            <w:tcW w:type="dxa" w:w="720"/>
          </w:tcPr>
          <w:p>
            <w:pPr>
              <w:spacing w:before="20" w:after="20"/>
              <w:jc w:val="center"/>
            </w:pPr>
            <w:r>
              <w:rPr>
                <w:rFonts w:ascii="Times New Roman" w:hAnsi="Times New Roman"/>
                <w:b w:val="0"/>
                <w:sz w:val="15"/>
              </w:rPr>
              <w:t>—</w:t>
            </w:r>
          </w:p>
        </w:tc>
        <w:tc>
          <w:tcPr>
            <w:tcW w:type="dxa" w:w="648"/>
          </w:tcPr>
          <w:p>
            <w:pPr>
              <w:spacing w:before="20" w:after="20"/>
              <w:jc w:val="center"/>
            </w:pPr>
            <w:r>
              <w:rPr>
                <w:rFonts w:ascii="Times New Roman" w:hAnsi="Times New Roman"/>
                <w:b w:val="0"/>
                <w:sz w:val="15"/>
              </w:rPr>
              <w:t>—</w:t>
            </w:r>
          </w:p>
        </w:tc>
      </w:tr>
      <w:tr>
        <w:tc>
          <w:tcPr>
            <w:tcW w:type="dxa" w:w="2088"/>
          </w:tcPr>
          <w:p>
            <w:pPr>
              <w:spacing w:before="20" w:after="20"/>
              <w:jc w:val="left"/>
            </w:pPr>
            <w:r>
              <w:rPr>
                <w:rFonts w:ascii="Times New Roman" w:hAnsi="Times New Roman"/>
                <w:b w:val="0"/>
                <w:sz w:val="15"/>
              </w:rPr>
              <w:t>Total</w:t>
            </w:r>
          </w:p>
        </w:tc>
        <w:tc>
          <w:tcPr>
            <w:tcW w:type="dxa" w:w="720"/>
          </w:tcPr>
          <w:p>
            <w:pPr>
              <w:spacing w:before="20" w:after="20"/>
              <w:jc w:val="center"/>
            </w:pPr>
            <w:r>
              <w:rPr>
                <w:rFonts w:ascii="Times New Roman" w:hAnsi="Times New Roman"/>
                <w:b w:val="0"/>
                <w:sz w:val="15"/>
              </w:rPr>
              <w:t>9,457</w:t>
            </w:r>
          </w:p>
        </w:tc>
        <w:tc>
          <w:tcPr>
            <w:tcW w:type="dxa" w:w="720"/>
          </w:tcPr>
          <w:p>
            <w:pPr>
              <w:spacing w:before="20" w:after="20"/>
              <w:jc w:val="center"/>
            </w:pPr>
            <w:r>
              <w:rPr>
                <w:rFonts w:ascii="Times New Roman" w:hAnsi="Times New Roman"/>
                <w:b w:val="0"/>
                <w:sz w:val="15"/>
              </w:rPr>
              <w:t>100%</w:t>
            </w:r>
          </w:p>
        </w:tc>
        <w:tc>
          <w:tcPr>
            <w:tcW w:type="dxa" w:w="720"/>
          </w:tcPr>
          <w:p>
            <w:pPr>
              <w:spacing w:before="20" w:after="20"/>
              <w:jc w:val="center"/>
            </w:pPr>
            <w:r>
              <w:rPr>
                <w:rFonts w:ascii="Times New Roman" w:hAnsi="Times New Roman"/>
                <w:b w:val="0"/>
                <w:sz w:val="15"/>
              </w:rPr>
              <w:t>7,434</w:t>
            </w:r>
          </w:p>
        </w:tc>
        <w:tc>
          <w:tcPr>
            <w:tcW w:type="dxa" w:w="648"/>
          </w:tcPr>
          <w:p>
            <w:pPr>
              <w:spacing w:before="20" w:after="20"/>
              <w:jc w:val="center"/>
            </w:pPr>
            <w:r>
              <w:rPr>
                <w:rFonts w:ascii="Times New Roman" w:hAnsi="Times New Roman"/>
                <w:b w:val="0"/>
                <w:sz w:val="15"/>
              </w:rPr>
              <w:t>1,860</w:t>
            </w:r>
          </w:p>
        </w:tc>
      </w:tr>
    </w:tbl>
    <w:p>
      <w:pPr>
        <w:spacing w:after="120"/>
      </w:pPr>
    </w:p>
    <w:p>
      <w:pPr>
        <w:spacing w:after="80" w:before="0" w:line="240" w:lineRule="auto"/>
        <w:ind w:firstLine="259"/>
        <w:jc w:val="both"/>
      </w:pPr>
      <w:r>
        <w:rPr>
          <w:rFonts w:ascii="Times New Roman" w:hAnsi="Times New Roman"/>
          <w:sz w:val="20"/>
        </w:rPr>
        <w:t>Performance is reported as mean absolute error (MAE, Haversine distance) on the held-out 20% test fold of each population (Table II, Fig. 3). The baseline is the SSL physics estimate with no GP correction; the corrected value adds the GP residual prediction.</w:t>
      </w:r>
    </w:p>
    <w:p>
      <w:pPr>
        <w:spacing w:before="120" w:after="40"/>
        <w:jc w:val="center"/>
      </w:pPr>
      <w:r>
        <w:rPr>
          <w:rFonts w:ascii="Times New Roman" w:hAnsi="Times New Roman"/>
          <w:smallCaps/>
          <w:sz w:val="16"/>
        </w:rPr>
        <w:t>Table II.  Held-Out Test-Fold Performance (post-D8)</w:t>
      </w:r>
    </w:p>
    <w:tbl>
      <w:tblPr>
        <w:tblStyle w:val="TableGrid"/>
        <w:tblW w:type="auto" w:w="0"/>
        <w:jc w:val="center"/>
        <w:tblLayout w:type="fixed"/>
        <w:tblLook w:firstColumn="1" w:firstRow="1" w:lastColumn="0" w:lastRow="0" w:noHBand="0" w:noVBand="1" w:val="04A0"/>
      </w:tblPr>
      <w:tblGrid>
        <w:gridCol w:w="2088"/>
        <w:gridCol w:w="2088"/>
        <w:gridCol w:w="2088"/>
        <w:gridCol w:w="2088"/>
        <w:gridCol w:w="2088"/>
      </w:tblGrid>
      <w:tr>
        <w:tc>
          <w:tcPr>
            <w:tcW w:type="dxa" w:w="1800"/>
          </w:tcPr>
          <w:p>
            <w:pPr>
              <w:spacing w:before="20" w:after="20"/>
              <w:jc w:val="left"/>
            </w:pPr>
            <w:r>
              <w:rPr>
                <w:rFonts w:ascii="Times New Roman" w:hAnsi="Times New Roman"/>
                <w:b/>
                <w:sz w:val="15"/>
              </w:rPr>
              <w:t>Population</w:t>
            </w:r>
          </w:p>
        </w:tc>
        <w:tc>
          <w:tcPr>
            <w:tcW w:type="dxa" w:w="720"/>
          </w:tcPr>
          <w:p>
            <w:pPr>
              <w:spacing w:before="20" w:after="20"/>
              <w:jc w:val="center"/>
            </w:pPr>
            <w:r>
              <w:rPr>
                <w:rFonts w:ascii="Times New Roman" w:hAnsi="Times New Roman"/>
                <w:b/>
                <w:sz w:val="15"/>
              </w:rPr>
              <w:t>Test</w:t>
            </w:r>
          </w:p>
        </w:tc>
        <w:tc>
          <w:tcPr>
            <w:tcW w:type="dxa" w:w="1080"/>
          </w:tcPr>
          <w:p>
            <w:pPr>
              <w:spacing w:before="20" w:after="20"/>
              <w:jc w:val="center"/>
            </w:pPr>
            <w:r>
              <w:rPr>
                <w:rFonts w:ascii="Times New Roman" w:hAnsi="Times New Roman"/>
                <w:b/>
                <w:sz w:val="15"/>
              </w:rPr>
              <w:t>Baseline</w:t>
            </w:r>
          </w:p>
        </w:tc>
        <w:tc>
          <w:tcPr>
            <w:tcW w:type="dxa" w:w="1080"/>
          </w:tcPr>
          <w:p>
            <w:pPr>
              <w:spacing w:before="20" w:after="20"/>
              <w:jc w:val="center"/>
            </w:pPr>
            <w:r>
              <w:rPr>
                <w:rFonts w:ascii="Times New Roman" w:hAnsi="Times New Roman"/>
                <w:b/>
                <w:sz w:val="15"/>
              </w:rPr>
              <w:t>Corrected</w:t>
            </w:r>
          </w:p>
        </w:tc>
        <w:tc>
          <w:tcPr>
            <w:tcW w:type="dxa" w:w="720"/>
          </w:tcPr>
          <w:p>
            <w:pPr>
              <w:spacing w:before="20" w:after="20"/>
              <w:jc w:val="center"/>
            </w:pPr>
            <w:r>
              <w:rPr>
                <w:rFonts w:ascii="Times New Roman" w:hAnsi="Times New Roman"/>
                <w:b/>
                <w:sz w:val="15"/>
              </w:rPr>
              <w:t>Impr.</w:t>
            </w:r>
          </w:p>
        </w:tc>
      </w:tr>
      <w:tr>
        <w:tc>
          <w:tcPr>
            <w:tcW w:type="dxa" w:w="1800"/>
          </w:tcPr>
          <w:p>
            <w:pPr>
              <w:spacing w:before="20" w:after="20"/>
              <w:jc w:val="left"/>
            </w:pPr>
            <w:r>
              <w:rPr>
                <w:rFonts w:ascii="Times New Roman" w:hAnsi="Times New Roman"/>
                <w:b w:val="0"/>
                <w:sz w:val="15"/>
              </w:rPr>
              <w:t>IRTAM</w:t>
            </w:r>
          </w:p>
        </w:tc>
        <w:tc>
          <w:tcPr>
            <w:tcW w:type="dxa" w:w="720"/>
          </w:tcPr>
          <w:p>
            <w:pPr>
              <w:spacing w:before="20" w:after="20"/>
              <w:jc w:val="center"/>
            </w:pPr>
            <w:r>
              <w:rPr>
                <w:rFonts w:ascii="Times New Roman" w:hAnsi="Times New Roman"/>
                <w:b w:val="0"/>
                <w:sz w:val="15"/>
              </w:rPr>
              <w:t>1,846</w:t>
            </w:r>
          </w:p>
        </w:tc>
        <w:tc>
          <w:tcPr>
            <w:tcW w:type="dxa" w:w="1080"/>
          </w:tcPr>
          <w:p>
            <w:pPr>
              <w:spacing w:before="20" w:after="20"/>
              <w:jc w:val="center"/>
            </w:pPr>
            <w:r>
              <w:rPr>
                <w:rFonts w:ascii="Times New Roman" w:hAnsi="Times New Roman"/>
                <w:b w:val="0"/>
                <w:sz w:val="15"/>
              </w:rPr>
              <w:t>103.29 km</w:t>
            </w:r>
          </w:p>
        </w:tc>
        <w:tc>
          <w:tcPr>
            <w:tcW w:type="dxa" w:w="1080"/>
          </w:tcPr>
          <w:p>
            <w:pPr>
              <w:spacing w:before="20" w:after="20"/>
              <w:jc w:val="center"/>
            </w:pPr>
            <w:r>
              <w:rPr>
                <w:rFonts w:ascii="Times New Roman" w:hAnsi="Times New Roman"/>
                <w:b w:val="0"/>
                <w:sz w:val="15"/>
              </w:rPr>
              <w:t>77.15 km</w:t>
            </w:r>
          </w:p>
        </w:tc>
        <w:tc>
          <w:tcPr>
            <w:tcW w:type="dxa" w:w="720"/>
          </w:tcPr>
          <w:p>
            <w:pPr>
              <w:spacing w:before="20" w:after="20"/>
              <w:jc w:val="center"/>
            </w:pPr>
            <w:r>
              <w:rPr>
                <w:rFonts w:ascii="Times New Roman" w:hAnsi="Times New Roman"/>
                <w:b w:val="0"/>
                <w:sz w:val="15"/>
              </w:rPr>
              <w:t>25.3%</w:t>
            </w:r>
          </w:p>
        </w:tc>
      </w:tr>
      <w:tr>
        <w:tc>
          <w:tcPr>
            <w:tcW w:type="dxa" w:w="1800"/>
          </w:tcPr>
          <w:p>
            <w:pPr>
              <w:spacing w:before="20" w:after="20"/>
              <w:jc w:val="left"/>
            </w:pPr>
            <w:r>
              <w:rPr>
                <w:rFonts w:ascii="Times New Roman" w:hAnsi="Times New Roman"/>
                <w:b w:val="0"/>
                <w:sz w:val="15"/>
              </w:rPr>
              <w:t>PyRayHF (storm)</w:t>
            </w:r>
          </w:p>
        </w:tc>
        <w:tc>
          <w:tcPr>
            <w:tcW w:type="dxa" w:w="720"/>
          </w:tcPr>
          <w:p>
            <w:pPr>
              <w:spacing w:before="20" w:after="20"/>
              <w:jc w:val="center"/>
            </w:pPr>
            <w:r>
              <w:rPr>
                <w:rFonts w:ascii="Times New Roman" w:hAnsi="Times New Roman"/>
                <w:b w:val="0"/>
                <w:sz w:val="15"/>
              </w:rPr>
              <w:t>14</w:t>
            </w:r>
          </w:p>
        </w:tc>
        <w:tc>
          <w:tcPr>
            <w:tcW w:type="dxa" w:w="1080"/>
          </w:tcPr>
          <w:p>
            <w:pPr>
              <w:spacing w:before="20" w:after="20"/>
              <w:jc w:val="center"/>
            </w:pPr>
            <w:r>
              <w:rPr>
                <w:rFonts w:ascii="Times New Roman" w:hAnsi="Times New Roman"/>
                <w:b w:val="0"/>
                <w:sz w:val="15"/>
              </w:rPr>
              <w:t>405.90 km</w:t>
            </w:r>
          </w:p>
        </w:tc>
        <w:tc>
          <w:tcPr>
            <w:tcW w:type="dxa" w:w="1080"/>
          </w:tcPr>
          <w:p>
            <w:pPr>
              <w:spacing w:before="20" w:after="20"/>
              <w:jc w:val="center"/>
            </w:pPr>
            <w:r>
              <w:rPr>
                <w:rFonts w:ascii="Times New Roman" w:hAnsi="Times New Roman"/>
                <w:b w:val="0"/>
                <w:sz w:val="15"/>
              </w:rPr>
              <w:t>379.64 km</w:t>
            </w:r>
          </w:p>
        </w:tc>
        <w:tc>
          <w:tcPr>
            <w:tcW w:type="dxa" w:w="720"/>
          </w:tcPr>
          <w:p>
            <w:pPr>
              <w:spacing w:before="20" w:after="20"/>
              <w:jc w:val="center"/>
            </w:pPr>
            <w:r>
              <w:rPr>
                <w:rFonts w:ascii="Times New Roman" w:hAnsi="Times New Roman"/>
                <w:b w:val="0"/>
                <w:sz w:val="15"/>
              </w:rPr>
              <w:t>6.5%</w:t>
            </w:r>
          </w:p>
        </w:tc>
      </w:tr>
    </w:tbl>
    <w:p>
      <w:pPr>
        <w:spacing w:after="120"/>
      </w:pPr>
    </w:p>
    <w:p>
      <w:pPr>
        <w:spacing w:before="80" w:after="20"/>
        <w:jc w:val="center"/>
      </w:pPr>
      <w:r>
        <w:drawing>
          <wp:inline xmlns:a="http://schemas.openxmlformats.org/drawingml/2006/main" xmlns:pic="http://schemas.openxmlformats.org/drawingml/2006/picture">
            <wp:extent cx="3017520" cy="2143721"/>
            <wp:docPr id="3" name="Picture 3"/>
            <wp:cNvGraphicFramePr>
              <a:graphicFrameLocks noChangeAspect="1"/>
            </wp:cNvGraphicFramePr>
            <a:graphic>
              <a:graphicData uri="http://schemas.openxmlformats.org/drawingml/2006/picture">
                <pic:pic>
                  <pic:nvPicPr>
                    <pic:cNvPr id="0" name="fig3_mae.png"/>
                    <pic:cNvPicPr/>
                  </pic:nvPicPr>
                  <pic:blipFill>
                    <a:blip r:embed="rId11"/>
                    <a:stretch>
                      <a:fillRect/>
                    </a:stretch>
                  </pic:blipFill>
                  <pic:spPr>
                    <a:xfrm>
                      <a:off x="0" y="0"/>
                      <a:ext cx="3017520" cy="2143721"/>
                    </a:xfrm>
                    <a:prstGeom prst="rect"/>
                  </pic:spPr>
                </pic:pic>
              </a:graphicData>
            </a:graphic>
          </wp:inline>
        </w:drawing>
      </w:r>
    </w:p>
    <w:p>
      <w:pPr>
        <w:spacing w:after="120"/>
        <w:jc w:val="center"/>
      </w:pPr>
      <w:r>
        <w:rPr>
          <w:rFonts w:ascii="Times New Roman" w:hAnsi="Times New Roman"/>
          <w:sz w:val="16"/>
        </w:rPr>
        <w:t>Fig. 3.  Baseline vs. GP-corrected MAE on held-out test folds (post-D8). The storm correction is marginal at the current 66-row population.</w:t>
      </w:r>
    </w:p>
    <w:p>
      <w:pPr>
        <w:spacing w:after="80" w:before="0" w:line="240" w:lineRule="auto"/>
        <w:ind w:firstLine="259"/>
        <w:jc w:val="both"/>
      </w:pPr>
      <w:r>
        <w:rPr>
          <w:rFonts w:ascii="Times New Roman" w:hAnsi="Times New Roman"/>
          <w:sz w:val="20"/>
        </w:rPr>
        <w:t>Under nominal mid-latitude conditions the GP removes about a quarter of the ~103 km baseline bias. The storm figures changed fundamentally with the D8 fix. Earlier reports cited a 610.80 km baseline reduced to 111.96 km (81.7%) — those figures are retracted: the ray tracer then ran at a fixed 5 MHz regardless of request frequency, and a shape misuse of the PyRayHF find_vh interface returned a per-layer quantity instead of the vertical group-refractive-index integral. The large “learnable” storm bias the old GP removed was substantially that artifact. With corrected physics the reflecting storm population's baseline is 405.90 km and the retrained GP improves it only marginally (379.64 km, 6.5%): at 52 training rows the longitude kernel collapses and the posterior uncertainty is large. This result rests on 14 test rows and should be read accordingly.</w:t>
      </w:r>
    </w:p>
    <w:p>
      <w:pPr>
        <w:spacing w:after="80" w:before="0" w:line="240" w:lineRule="auto"/>
        <w:ind w:firstLine="259"/>
        <w:jc w:val="both"/>
      </w:pPr>
      <w:r>
        <w:rPr>
          <w:rFonts w:ascii="Times New Roman" w:hAnsi="Times New Roman"/>
          <w:sz w:val="20"/>
        </w:rPr>
        <w:t>These numbers are interpolation within the training distribution, not generalization. Both GPs were trained and tested on the same station and the same three months. Because ionospheric residuals are temporally autocorrelated, the row-level random split was additionally hardened with a day-blocked variant (no calendar day contributes rows to both folds; 17 of 84 days held out): the IRTAM correction degrades only modestly, from 77.15 km (25.3%) to 83.14 km (23.0%) on 1,859 day-blocked test rows — the correction transfers across days within the training months. The figures measure how well the system reduces bias on the distribution it was exposed to. They are explicitly NOT: a held-out-station score, a held-out-season score, a multi-hop result, or a real-emitter-track result. The emitter geometry is simulated (random azimuths and distances under a single-hop assumption); the ionospheric profiles and geomagnetic indices driving them are real. A held-out-station generalization test—training on a set of stations and evaluating on a station withheld entirely, termed “Approach B”—is the recommended next validation step and is not yet implemented.</w:t>
      </w:r>
    </w:p>
    <w:p>
      <w:pPr>
        <w:spacing w:before="160" w:after="60"/>
        <w:jc w:val="center"/>
      </w:pPr>
      <w:r>
        <w:rPr>
          <w:rFonts w:ascii="Times New Roman" w:hAnsi="Times New Roman"/>
          <w:smallCaps/>
          <w:sz w:val="20"/>
        </w:rPr>
        <w:t>VII.  TEST SIGNALS AND BEARING-ERROR FIGURE OF MERIT</w:t>
      </w:r>
    </w:p>
    <w:p>
      <w:pPr>
        <w:spacing w:after="80" w:before="0" w:line="240" w:lineRule="auto"/>
        <w:ind w:firstLine="259"/>
        <w:jc w:val="both"/>
      </w:pPr>
      <w:r>
        <w:rPr>
          <w:rFonts w:ascii="Times New Roman" w:hAnsi="Times New Roman"/>
          <w:sz w:val="20"/>
        </w:rPr>
        <w:t>The Table II figures measure how well the pipeline corrects ionospheric bias, but the deliverable's stated Figure of Merit is the accuracy of the location fix itself. Two dedicated tools close that gap: a ground-truth test-signal generator (itself an explicit deliverable of DIA-CoE/EW/02) and a bearing-noise sensitivity study built on top of it.</w:t>
      </w:r>
    </w:p>
    <w:p>
      <w:pPr>
        <w:spacing w:before="80" w:after="40"/>
      </w:pPr>
      <w:r>
        <w:rPr>
          <w:rFonts w:ascii="Times New Roman" w:hAnsi="Times New Roman"/>
          <w:i/>
          <w:sz w:val="20"/>
        </w:rPr>
        <w:t xml:space="preserve">A. </w:t>
      </w:r>
      <w:r>
        <w:rPr>
          <w:rFonts w:ascii="Times New Roman" w:hAnsi="Times New Roman"/>
          <w:i/>
          <w:sz w:val="20"/>
        </w:rPr>
        <w:t>Ground-truth test signal generation</w:t>
      </w:r>
    </w:p>
    <w:p>
      <w:pPr>
        <w:spacing w:after="80" w:before="0" w:line="240" w:lineRule="auto"/>
        <w:ind w:firstLine="259"/>
        <w:jc w:val="both"/>
      </w:pPr>
      <w:r>
        <w:rPr>
          <w:rFonts w:ascii="Times New Roman" w:hAnsi="Times New Roman"/>
          <w:sz w:val="20"/>
        </w:rPr>
        <w:t>The generator (data/generate_test_signals.py) places emitters at known positions—eight azimuths at 45° spacing, ground ranges of 800, 1,500, and 2,200 km, under three representative 2012 condition sets (quiet noon, quiet midnight, and Kp = 6 storm) from the AH223 receiver—and synthesises the exact observation a receiver would record. The azimuth is the initial great-circle bearing to the emitter, and the elevation is arctan(hᵥ/D) with the virtual height queried from the same hybrid ionosphere at the great-circle bounce midpoint: precisely the inverse of the SSL range relation of Section II. Signals whose true elevation falls outside the solver's validated 1–60° band are dropped by construction, leaving 72 valid ground-truth signals. The set is deterministic (seed 42), and unit tests prove the generator and solver are exact geometric inverses in pure geometry, so any residual error measured downstream is attributable to the algorithm, not the harness.</w:t>
      </w:r>
    </w:p>
    <w:p>
      <w:pPr>
        <w:spacing w:before="80" w:after="40"/>
      </w:pPr>
      <w:r>
        <w:rPr>
          <w:rFonts w:ascii="Times New Roman" w:hAnsi="Times New Roman"/>
          <w:i/>
          <w:sz w:val="20"/>
        </w:rPr>
        <w:t xml:space="preserve">B. </w:t>
      </w:r>
      <w:r>
        <w:rPr>
          <w:rFonts w:ascii="Times New Roman" w:hAnsi="Times New Roman"/>
          <w:i/>
          <w:sz w:val="20"/>
        </w:rPr>
        <w:t>Bearing-noise sensitivity study</w:t>
      </w:r>
    </w:p>
    <w:p>
      <w:pPr>
        <w:spacing w:after="80" w:before="0" w:line="240" w:lineRule="auto"/>
        <w:ind w:firstLine="259"/>
        <w:jc w:val="both"/>
      </w:pPr>
      <w:r>
        <w:rPr>
          <w:rFonts w:ascii="Times New Roman" w:hAnsi="Times New Roman"/>
          <w:sz w:val="20"/>
        </w:rPr>
        <w:t>Real HF direction finders measure bearings with errors of a degree or more, and in SSL geometry the elevation angle enters through tan(Δ), so bearing error—absent from the Table II figures—is the dominant real-world error source. The study (bearing_noise_study.py) injects independent zero-mean Gaussian error into azimuth and elevation, sweeping each standard deviation over {0, 0.5, 1.0, 2.0}° (a 4×4 grid), clips noisy elevations to the 1–60° band, and runs the full two-pass ssl_locate on every noisy observation against the same hybrid ionosphere the signals were synthesised from. Ionospheric lookups are memoised on coordinates quantised to 0.1°—well below the ionosphere's native spatial resolution—so 1,525 real model calls served 4,608 lookups; the per-cell realization count is sized from a measured per-call latency probe (two draws per signal per cell, 144 trials per cell, 2,304 total; seed 42, fully reproducible).</w:t>
      </w:r>
    </w:p>
    <w:p>
      <w:pPr>
        <w:spacing w:before="120" w:after="40"/>
        <w:jc w:val="center"/>
      </w:pPr>
      <w:r>
        <w:rPr>
          <w:rFonts w:ascii="Times New Roman" w:hAnsi="Times New Roman"/>
          <w:smallCaps/>
          <w:sz w:val="16"/>
        </w:rPr>
        <w:t>Table III.  Geolocation MAE (km) Under Bearing Error (Rows: Azimuth σ; Columns: Elevation σ)</w:t>
      </w:r>
    </w:p>
    <w:tbl>
      <w:tblPr>
        <w:tblStyle w:val="TableGrid"/>
        <w:tblW w:type="auto" w:w="0"/>
        <w:jc w:val="center"/>
        <w:tblLayout w:type="fixed"/>
        <w:tblLook w:firstColumn="1" w:firstRow="1" w:lastColumn="0" w:lastRow="0" w:noHBand="0" w:noVBand="1" w:val="04A0"/>
      </w:tblPr>
      <w:tblGrid>
        <w:gridCol w:w="2088"/>
        <w:gridCol w:w="2088"/>
        <w:gridCol w:w="2088"/>
        <w:gridCol w:w="2088"/>
        <w:gridCol w:w="2088"/>
      </w:tblGrid>
      <w:tr>
        <w:tc>
          <w:tcPr>
            <w:tcW w:type="dxa" w:w="1152"/>
          </w:tcPr>
          <w:p>
            <w:pPr>
              <w:spacing w:before="20" w:after="20"/>
              <w:jc w:val="left"/>
            </w:pPr>
            <w:r>
              <w:rPr>
                <w:rFonts w:ascii="Times New Roman" w:hAnsi="Times New Roman"/>
                <w:b/>
                <w:sz w:val="15"/>
              </w:rPr>
              <w:t>az σ \ el σ</w:t>
            </w:r>
          </w:p>
        </w:tc>
        <w:tc>
          <w:tcPr>
            <w:tcW w:type="dxa" w:w="893"/>
          </w:tcPr>
          <w:p>
            <w:pPr>
              <w:spacing w:before="20" w:after="20"/>
              <w:jc w:val="center"/>
            </w:pPr>
            <w:r>
              <w:rPr>
                <w:rFonts w:ascii="Times New Roman" w:hAnsi="Times New Roman"/>
                <w:b/>
                <w:sz w:val="15"/>
              </w:rPr>
              <w:t>0.0°</w:t>
            </w:r>
          </w:p>
        </w:tc>
        <w:tc>
          <w:tcPr>
            <w:tcW w:type="dxa" w:w="893"/>
          </w:tcPr>
          <w:p>
            <w:pPr>
              <w:spacing w:before="20" w:after="20"/>
              <w:jc w:val="center"/>
            </w:pPr>
            <w:r>
              <w:rPr>
                <w:rFonts w:ascii="Times New Roman" w:hAnsi="Times New Roman"/>
                <w:b/>
                <w:sz w:val="15"/>
              </w:rPr>
              <w:t>0.5°</w:t>
            </w:r>
          </w:p>
        </w:tc>
        <w:tc>
          <w:tcPr>
            <w:tcW w:type="dxa" w:w="893"/>
          </w:tcPr>
          <w:p>
            <w:pPr>
              <w:spacing w:before="20" w:after="20"/>
              <w:jc w:val="center"/>
            </w:pPr>
            <w:r>
              <w:rPr>
                <w:rFonts w:ascii="Times New Roman" w:hAnsi="Times New Roman"/>
                <w:b/>
                <w:sz w:val="15"/>
              </w:rPr>
              <w:t>1.0°</w:t>
            </w:r>
          </w:p>
        </w:tc>
        <w:tc>
          <w:tcPr>
            <w:tcW w:type="dxa" w:w="893"/>
          </w:tcPr>
          <w:p>
            <w:pPr>
              <w:spacing w:before="20" w:after="20"/>
              <w:jc w:val="center"/>
            </w:pPr>
            <w:r>
              <w:rPr>
                <w:rFonts w:ascii="Times New Roman" w:hAnsi="Times New Roman"/>
                <w:b/>
                <w:sz w:val="15"/>
              </w:rPr>
              <w:t>2.0°</w:t>
            </w:r>
          </w:p>
        </w:tc>
      </w:tr>
      <w:tr>
        <w:tc>
          <w:tcPr>
            <w:tcW w:type="dxa" w:w="1152"/>
          </w:tcPr>
          <w:p>
            <w:pPr>
              <w:spacing w:before="20" w:after="20"/>
              <w:jc w:val="left"/>
            </w:pPr>
            <w:r>
              <w:rPr>
                <w:rFonts w:ascii="Times New Roman" w:hAnsi="Times New Roman"/>
                <w:b w:val="0"/>
                <w:sz w:val="15"/>
              </w:rPr>
              <w:t>0.0°</w:t>
            </w:r>
          </w:p>
        </w:tc>
        <w:tc>
          <w:tcPr>
            <w:tcW w:type="dxa" w:w="893"/>
          </w:tcPr>
          <w:p>
            <w:pPr>
              <w:spacing w:before="20" w:after="20"/>
              <w:jc w:val="center"/>
            </w:pPr>
            <w:r>
              <w:rPr>
                <w:rFonts w:ascii="Times New Roman" w:hAnsi="Times New Roman"/>
                <w:b w:val="0"/>
                <w:sz w:val="15"/>
              </w:rPr>
              <w:t>48.3</w:t>
            </w:r>
          </w:p>
        </w:tc>
        <w:tc>
          <w:tcPr>
            <w:tcW w:type="dxa" w:w="893"/>
          </w:tcPr>
          <w:p>
            <w:pPr>
              <w:spacing w:before="20" w:after="20"/>
              <w:jc w:val="center"/>
            </w:pPr>
            <w:r>
              <w:rPr>
                <w:rFonts w:ascii="Times New Roman" w:hAnsi="Times New Roman"/>
                <w:b w:val="0"/>
                <w:sz w:val="15"/>
              </w:rPr>
              <w:t>97.9</w:t>
            </w:r>
          </w:p>
        </w:tc>
        <w:tc>
          <w:tcPr>
            <w:tcW w:type="dxa" w:w="893"/>
          </w:tcPr>
          <w:p>
            <w:pPr>
              <w:spacing w:before="20" w:after="20"/>
              <w:jc w:val="center"/>
            </w:pPr>
            <w:r>
              <w:rPr>
                <w:rFonts w:ascii="Times New Roman" w:hAnsi="Times New Roman"/>
                <w:b w:val="0"/>
                <w:sz w:val="15"/>
              </w:rPr>
              <w:t>164.3</w:t>
            </w:r>
          </w:p>
        </w:tc>
        <w:tc>
          <w:tcPr>
            <w:tcW w:type="dxa" w:w="893"/>
          </w:tcPr>
          <w:p>
            <w:pPr>
              <w:spacing w:before="20" w:after="20"/>
              <w:jc w:val="center"/>
            </w:pPr>
            <w:r>
              <w:rPr>
                <w:rFonts w:ascii="Times New Roman" w:hAnsi="Times New Roman"/>
                <w:b w:val="0"/>
                <w:sz w:val="15"/>
              </w:rPr>
              <w:t>298.4</w:t>
            </w:r>
          </w:p>
        </w:tc>
      </w:tr>
      <w:tr>
        <w:tc>
          <w:tcPr>
            <w:tcW w:type="dxa" w:w="1152"/>
          </w:tcPr>
          <w:p>
            <w:pPr>
              <w:spacing w:before="20" w:after="20"/>
              <w:jc w:val="left"/>
            </w:pPr>
            <w:r>
              <w:rPr>
                <w:rFonts w:ascii="Times New Roman" w:hAnsi="Times New Roman"/>
                <w:b w:val="0"/>
                <w:sz w:val="15"/>
              </w:rPr>
              <w:t>0.5°</w:t>
            </w:r>
          </w:p>
        </w:tc>
        <w:tc>
          <w:tcPr>
            <w:tcW w:type="dxa" w:w="893"/>
          </w:tcPr>
          <w:p>
            <w:pPr>
              <w:spacing w:before="20" w:after="20"/>
              <w:jc w:val="center"/>
            </w:pPr>
            <w:r>
              <w:rPr>
                <w:rFonts w:ascii="Times New Roman" w:hAnsi="Times New Roman"/>
                <w:b w:val="0"/>
                <w:sz w:val="15"/>
              </w:rPr>
              <w:t>48.3</w:t>
            </w:r>
          </w:p>
        </w:tc>
        <w:tc>
          <w:tcPr>
            <w:tcW w:type="dxa" w:w="893"/>
          </w:tcPr>
          <w:p>
            <w:pPr>
              <w:spacing w:before="20" w:after="20"/>
              <w:jc w:val="center"/>
            </w:pPr>
            <w:r>
              <w:rPr>
                <w:rFonts w:ascii="Times New Roman" w:hAnsi="Times New Roman"/>
                <w:b w:val="0"/>
                <w:sz w:val="15"/>
              </w:rPr>
              <w:t>94.8</w:t>
            </w:r>
          </w:p>
        </w:tc>
        <w:tc>
          <w:tcPr>
            <w:tcW w:type="dxa" w:w="893"/>
          </w:tcPr>
          <w:p>
            <w:pPr>
              <w:spacing w:before="20" w:after="20"/>
              <w:jc w:val="center"/>
            </w:pPr>
            <w:r>
              <w:rPr>
                <w:rFonts w:ascii="Times New Roman" w:hAnsi="Times New Roman"/>
                <w:b w:val="0"/>
                <w:sz w:val="15"/>
              </w:rPr>
              <w:t>150.8</w:t>
            </w:r>
          </w:p>
        </w:tc>
        <w:tc>
          <w:tcPr>
            <w:tcW w:type="dxa" w:w="893"/>
          </w:tcPr>
          <w:p>
            <w:pPr>
              <w:spacing w:before="20" w:after="20"/>
              <w:jc w:val="center"/>
            </w:pPr>
            <w:r>
              <w:rPr>
                <w:rFonts w:ascii="Times New Roman" w:hAnsi="Times New Roman"/>
                <w:b w:val="0"/>
                <w:sz w:val="15"/>
              </w:rPr>
              <w:t>325.2</w:t>
            </w:r>
          </w:p>
        </w:tc>
      </w:tr>
      <w:tr>
        <w:tc>
          <w:tcPr>
            <w:tcW w:type="dxa" w:w="1152"/>
          </w:tcPr>
          <w:p>
            <w:pPr>
              <w:spacing w:before="20" w:after="20"/>
              <w:jc w:val="left"/>
            </w:pPr>
            <w:r>
              <w:rPr>
                <w:rFonts w:ascii="Times New Roman" w:hAnsi="Times New Roman"/>
                <w:b w:val="0"/>
                <w:sz w:val="15"/>
              </w:rPr>
              <w:t>1.0°</w:t>
            </w:r>
          </w:p>
        </w:tc>
        <w:tc>
          <w:tcPr>
            <w:tcW w:type="dxa" w:w="893"/>
          </w:tcPr>
          <w:p>
            <w:pPr>
              <w:spacing w:before="20" w:after="20"/>
              <w:jc w:val="center"/>
            </w:pPr>
            <w:r>
              <w:rPr>
                <w:rFonts w:ascii="Times New Roman" w:hAnsi="Times New Roman"/>
                <w:b w:val="0"/>
                <w:sz w:val="15"/>
              </w:rPr>
              <w:t>63.9</w:t>
            </w:r>
          </w:p>
        </w:tc>
        <w:tc>
          <w:tcPr>
            <w:tcW w:type="dxa" w:w="893"/>
          </w:tcPr>
          <w:p>
            <w:pPr>
              <w:spacing w:before="20" w:after="20"/>
              <w:jc w:val="center"/>
            </w:pPr>
            <w:r>
              <w:rPr>
                <w:rFonts w:ascii="Times New Roman" w:hAnsi="Times New Roman"/>
                <w:b w:val="0"/>
                <w:sz w:val="15"/>
              </w:rPr>
              <w:t>95.1</w:t>
            </w:r>
          </w:p>
        </w:tc>
        <w:tc>
          <w:tcPr>
            <w:tcW w:type="dxa" w:w="893"/>
          </w:tcPr>
          <w:p>
            <w:pPr>
              <w:spacing w:before="20" w:after="20"/>
              <w:jc w:val="center"/>
            </w:pPr>
            <w:r>
              <w:rPr>
                <w:rFonts w:ascii="Times New Roman" w:hAnsi="Times New Roman"/>
                <w:b w:val="0"/>
                <w:sz w:val="15"/>
              </w:rPr>
              <w:t>155.4</w:t>
            </w:r>
          </w:p>
        </w:tc>
        <w:tc>
          <w:tcPr>
            <w:tcW w:type="dxa" w:w="893"/>
          </w:tcPr>
          <w:p>
            <w:pPr>
              <w:spacing w:before="20" w:after="20"/>
              <w:jc w:val="center"/>
            </w:pPr>
            <w:r>
              <w:rPr>
                <w:rFonts w:ascii="Times New Roman" w:hAnsi="Times New Roman"/>
                <w:b w:val="0"/>
                <w:sz w:val="15"/>
              </w:rPr>
              <w:t>241.7</w:t>
            </w:r>
          </w:p>
        </w:tc>
      </w:tr>
      <w:tr>
        <w:tc>
          <w:tcPr>
            <w:tcW w:type="dxa" w:w="1152"/>
          </w:tcPr>
          <w:p>
            <w:pPr>
              <w:spacing w:before="20" w:after="20"/>
              <w:jc w:val="left"/>
            </w:pPr>
            <w:r>
              <w:rPr>
                <w:rFonts w:ascii="Times New Roman" w:hAnsi="Times New Roman"/>
                <w:b w:val="0"/>
                <w:sz w:val="15"/>
              </w:rPr>
              <w:t>2.0°</w:t>
            </w:r>
          </w:p>
        </w:tc>
        <w:tc>
          <w:tcPr>
            <w:tcW w:type="dxa" w:w="893"/>
          </w:tcPr>
          <w:p>
            <w:pPr>
              <w:spacing w:before="20" w:after="20"/>
              <w:jc w:val="center"/>
            </w:pPr>
            <w:r>
              <w:rPr>
                <w:rFonts w:ascii="Times New Roman" w:hAnsi="Times New Roman"/>
                <w:b w:val="0"/>
                <w:sz w:val="15"/>
              </w:rPr>
              <w:t>69.2</w:t>
            </w:r>
          </w:p>
        </w:tc>
        <w:tc>
          <w:tcPr>
            <w:tcW w:type="dxa" w:w="893"/>
          </w:tcPr>
          <w:p>
            <w:pPr>
              <w:spacing w:before="20" w:after="20"/>
              <w:jc w:val="center"/>
            </w:pPr>
            <w:r>
              <w:rPr>
                <w:rFonts w:ascii="Times New Roman" w:hAnsi="Times New Roman"/>
                <w:b w:val="0"/>
                <w:sz w:val="15"/>
              </w:rPr>
              <w:t>106.7</w:t>
            </w:r>
          </w:p>
        </w:tc>
        <w:tc>
          <w:tcPr>
            <w:tcW w:type="dxa" w:w="893"/>
          </w:tcPr>
          <w:p>
            <w:pPr>
              <w:spacing w:before="20" w:after="20"/>
              <w:jc w:val="center"/>
            </w:pPr>
            <w:r>
              <w:rPr>
                <w:rFonts w:ascii="Times New Roman" w:hAnsi="Times New Roman"/>
                <w:b w:val="0"/>
                <w:sz w:val="15"/>
              </w:rPr>
              <w:t>151.4</w:t>
            </w:r>
          </w:p>
        </w:tc>
        <w:tc>
          <w:tcPr>
            <w:tcW w:type="dxa" w:w="893"/>
          </w:tcPr>
          <w:p>
            <w:pPr>
              <w:spacing w:before="20" w:after="20"/>
              <w:jc w:val="center"/>
            </w:pPr>
            <w:r>
              <w:rPr>
                <w:rFonts w:ascii="Times New Roman" w:hAnsi="Times New Roman"/>
                <w:b w:val="0"/>
                <w:sz w:val="15"/>
              </w:rPr>
              <w:t>306.0</w:t>
            </w:r>
          </w:p>
        </w:tc>
      </w:tr>
    </w:tbl>
    <w:p>
      <w:pPr>
        <w:spacing w:after="120"/>
      </w:pPr>
    </w:p>
    <w:p>
      <w:pPr>
        <w:spacing w:before="80" w:after="20"/>
        <w:jc w:val="center"/>
      </w:pPr>
      <w:r>
        <w:drawing>
          <wp:inline xmlns:a="http://schemas.openxmlformats.org/drawingml/2006/main" xmlns:pic="http://schemas.openxmlformats.org/drawingml/2006/picture">
            <wp:extent cx="3017520" cy="2936364"/>
            <wp:docPr id="4" name="Picture 4"/>
            <wp:cNvGraphicFramePr>
              <a:graphicFrameLocks noChangeAspect="1"/>
            </wp:cNvGraphicFramePr>
            <a:graphic>
              <a:graphicData uri="http://schemas.openxmlformats.org/drawingml/2006/picture">
                <pic:pic>
                  <pic:nvPicPr>
                    <pic:cNvPr id="0" name="fig4_bearing.png"/>
                    <pic:cNvPicPr/>
                  </pic:nvPicPr>
                  <pic:blipFill>
                    <a:blip r:embed="rId12"/>
                    <a:stretch>
                      <a:fillRect/>
                    </a:stretch>
                  </pic:blipFill>
                  <pic:spPr>
                    <a:xfrm>
                      <a:off x="0" y="0"/>
                      <a:ext cx="3017520" cy="2936364"/>
                    </a:xfrm>
                    <a:prstGeom prst="rect"/>
                  </pic:spPr>
                </pic:pic>
              </a:graphicData>
            </a:graphic>
          </wp:inline>
        </w:drawing>
      </w:r>
    </w:p>
    <w:p>
      <w:pPr>
        <w:spacing w:after="120"/>
        <w:jc w:val="center"/>
      </w:pPr>
      <w:r>
        <w:rPr>
          <w:rFonts w:ascii="Times New Roman" w:hAnsi="Times New Roman"/>
          <w:sz w:val="16"/>
        </w:rPr>
        <w:t>Fig. 4.  Median geolocation error (km) over the bearing-noise grid (post-D8). The zero-noise cell is the 4.2 km intrinsic floor; error grows far faster along the elevation axis than the azimuth axis.</w:t>
      </w:r>
    </w:p>
    <w:p>
      <w:pPr>
        <w:spacing w:after="80" w:before="0" w:line="240" w:lineRule="auto"/>
        <w:ind w:firstLine="259"/>
        <w:jc w:val="both"/>
      </w:pPr>
      <w:r>
        <w:rPr>
          <w:rFonts w:ascii="Times New Roman" w:hAnsi="Times New Roman"/>
          <w:sz w:val="20"/>
        </w:rPr>
        <w:t>Three results stand out. First, the intrinsic floor: with perfect bearings the algorithm's median error is 4.2 km (P90 92 km). Under quiet conditions the two-pass approximation is very tight when the virtual-height field is smooth. Under the storm condition the floor remains heavy-tailed (worst zero-noise trial 678 km): the corrected 10 MHz ray-traced heights vary strongly with position, the pass-one height at the receiver mislocates the bounce midpoint, and the residual height difference is amplified by 1/tan(Δ). This tail, not typical behaviour, is why the zero-noise MAE (48.3 km) sits far above its median.</w:t>
      </w:r>
    </w:p>
    <w:p>
      <w:pPr>
        <w:spacing w:after="80" w:before="0" w:line="240" w:lineRule="auto"/>
        <w:ind w:firstLine="259"/>
        <w:jc w:val="both"/>
      </w:pPr>
      <w:r>
        <w:rPr>
          <w:rFonts w:ascii="Times New Roman" w:hAnsi="Times New Roman"/>
          <w:sz w:val="20"/>
        </w:rPr>
        <w:t>Second, elevation error dominates, as the geometry predicts: at equal σ it costs about 3× more than azimuth error (median 143.2 km for 2.0° elevation noise alone versus 43.0 km for 2.0° azimuth noise alone; 67.4 versus 27.3 km at 1.0°). Draws that push signals toward low elevation explode the range estimate—the largest single-trial error was 6,620 km at a noisy elevation of 2.5°—so low-elevation, long-range geometry is where bearing quality matters most. Third, azimuth error mainly rotates the fix: az-only medians grow gently (4.2 → 14.4 → 27.3 → 43.0 km), consistent with cross-range displacement of approximately range × sin σ.</w:t>
      </w:r>
    </w:p>
    <w:p>
      <w:pPr>
        <w:spacing w:after="80" w:before="0" w:line="240" w:lineRule="auto"/>
        <w:ind w:firstLine="259"/>
        <w:jc w:val="both"/>
      </w:pPr>
      <w:r>
        <w:rPr>
          <w:rFonts w:ascii="Times New Roman" w:hAnsi="Times New Roman"/>
          <w:sz w:val="20"/>
        </w:rPr>
        <w:t>Two scope notes apply. The study isolates the algorithm: observations are synthesised and inverted with the same hybrid ionosphere, so ionospheric-model error—characterised separately in Table II—is excluded by design, and the two error sources are not conflated. And with two noise draws per signal per cell, the MAE cells rest on 144 trials and are not perfectly monotone (heavy-tailed draws dominate means); the medians of Fig. 4, which are robust, are monotone in both axes.</w:t>
      </w:r>
    </w:p>
    <w:p>
      <w:pPr>
        <w:spacing w:before="160" w:after="60"/>
        <w:jc w:val="center"/>
      </w:pPr>
      <w:r>
        <w:rPr>
          <w:rFonts w:ascii="Times New Roman" w:hAnsi="Times New Roman"/>
          <w:smallCaps/>
          <w:sz w:val="20"/>
        </w:rPr>
        <w:t>VIII.  VALIDITY ENVELOPE AND KNOWN LIMITATIONS</w:t>
      </w:r>
    </w:p>
    <w:p>
      <w:pPr>
        <w:spacing w:after="80" w:before="0" w:line="240" w:lineRule="auto"/>
        <w:ind w:firstLine="259"/>
        <w:jc w:val="both"/>
      </w:pPr>
      <w:r>
        <w:rPr>
          <w:rFonts w:ascii="Times New Roman" w:hAnsi="Times New Roman"/>
          <w:sz w:val="20"/>
        </w:rPr>
        <w:t>Table IV states what is and is not validated. The system is validated for single-hop mid-latitude geometry at AH223 Ahmedabad over June, July, and December 2012, with real ionospheric and geomagnetic data but simulated emitter geometry.</w:t>
      </w:r>
    </w:p>
    <w:p>
      <w:pPr>
        <w:spacing w:before="120" w:after="40"/>
        <w:jc w:val="center"/>
      </w:pPr>
      <w:r>
        <w:rPr>
          <w:rFonts w:ascii="Times New Roman" w:hAnsi="Times New Roman"/>
          <w:smallCaps/>
          <w:sz w:val="16"/>
        </w:rPr>
        <w:t>Table IV.  Validity Envelope</w:t>
      </w:r>
    </w:p>
    <w:tbl>
      <w:tblPr>
        <w:tblStyle w:val="TableGrid"/>
        <w:tblW w:type="auto" w:w="0"/>
        <w:jc w:val="center"/>
        <w:tblLayout w:type="fixed"/>
        <w:tblLook w:firstColumn="1" w:firstRow="1" w:lastColumn="0" w:lastRow="0" w:noHBand="0" w:noVBand="1" w:val="04A0"/>
      </w:tblPr>
      <w:tblGrid>
        <w:gridCol w:w="5220"/>
        <w:gridCol w:w="5220"/>
      </w:tblGrid>
      <w:tr>
        <w:tc>
          <w:tcPr>
            <w:tcW w:type="dxa" w:w="2448"/>
          </w:tcPr>
          <w:p>
            <w:pPr>
              <w:spacing w:before="20" w:after="20"/>
              <w:jc w:val="left"/>
            </w:pPr>
            <w:r>
              <w:rPr>
                <w:rFonts w:ascii="Times New Roman" w:hAnsi="Times New Roman"/>
                <w:b/>
                <w:sz w:val="15"/>
              </w:rPr>
              <w:t>Validated (in scope)</w:t>
            </w:r>
          </w:p>
        </w:tc>
        <w:tc>
          <w:tcPr>
            <w:tcW w:type="dxa" w:w="2448"/>
          </w:tcPr>
          <w:p>
            <w:pPr>
              <w:spacing w:before="20" w:after="20"/>
              <w:jc w:val="center"/>
            </w:pPr>
            <w:r>
              <w:rPr>
                <w:rFonts w:ascii="Times New Roman" w:hAnsi="Times New Roman"/>
                <w:b/>
                <w:sz w:val="15"/>
              </w:rPr>
              <w:t>Not validated (out of scope)</w:t>
            </w:r>
          </w:p>
        </w:tc>
      </w:tr>
      <w:tr>
        <w:tc>
          <w:tcPr>
            <w:tcW w:type="dxa" w:w="2448"/>
          </w:tcPr>
          <w:p>
            <w:pPr>
              <w:spacing w:before="20" w:after="20"/>
              <w:jc w:val="left"/>
            </w:pPr>
            <w:r>
              <w:rPr>
                <w:rFonts w:ascii="Times New Roman" w:hAnsi="Times New Roman"/>
                <w:b w:val="0"/>
                <w:sz w:val="15"/>
              </w:rPr>
              <w:t>AH223 Ahmedabad, 23°N</w:t>
            </w:r>
          </w:p>
        </w:tc>
        <w:tc>
          <w:tcPr>
            <w:tcW w:type="dxa" w:w="2448"/>
          </w:tcPr>
          <w:p>
            <w:pPr>
              <w:spacing w:before="20" w:after="20"/>
              <w:jc w:val="center"/>
            </w:pPr>
            <w:r>
              <w:rPr>
                <w:rFonts w:ascii="Times New Roman" w:hAnsi="Times New Roman"/>
                <w:b w:val="0"/>
                <w:sz w:val="15"/>
              </w:rPr>
              <w:t>Other stations / latitudes</w:t>
            </w:r>
          </w:p>
        </w:tc>
      </w:tr>
      <w:tr>
        <w:tc>
          <w:tcPr>
            <w:tcW w:type="dxa" w:w="2448"/>
          </w:tcPr>
          <w:p>
            <w:pPr>
              <w:spacing w:before="20" w:after="20"/>
              <w:jc w:val="left"/>
            </w:pPr>
            <w:r>
              <w:rPr>
                <w:rFonts w:ascii="Times New Roman" w:hAnsi="Times New Roman"/>
                <w:b w:val="0"/>
                <w:sz w:val="15"/>
              </w:rPr>
              <w:t>Jun/Jul/Dec 2012</w:t>
            </w:r>
          </w:p>
        </w:tc>
        <w:tc>
          <w:tcPr>
            <w:tcW w:type="dxa" w:w="2448"/>
          </w:tcPr>
          <w:p>
            <w:pPr>
              <w:spacing w:before="20" w:after="20"/>
              <w:jc w:val="center"/>
            </w:pPr>
            <w:r>
              <w:rPr>
                <w:rFonts w:ascii="Times New Roman" w:hAnsi="Times New Roman"/>
                <w:b w:val="0"/>
                <w:sz w:val="15"/>
              </w:rPr>
              <w:t>Other months / years</w:t>
            </w:r>
          </w:p>
        </w:tc>
      </w:tr>
      <w:tr>
        <w:tc>
          <w:tcPr>
            <w:tcW w:type="dxa" w:w="2448"/>
          </w:tcPr>
          <w:p>
            <w:pPr>
              <w:spacing w:before="20" w:after="20"/>
              <w:jc w:val="left"/>
            </w:pPr>
            <w:r>
              <w:rPr>
                <w:rFonts w:ascii="Times New Roman" w:hAnsi="Times New Roman"/>
                <w:b w:val="0"/>
                <w:sz w:val="15"/>
              </w:rPr>
              <w:t>Single-hop geometry</w:t>
            </w:r>
          </w:p>
        </w:tc>
        <w:tc>
          <w:tcPr>
            <w:tcW w:type="dxa" w:w="2448"/>
          </w:tcPr>
          <w:p>
            <w:pPr>
              <w:spacing w:before="20" w:after="20"/>
              <w:jc w:val="center"/>
            </w:pPr>
            <w:r>
              <w:rPr>
                <w:rFonts w:ascii="Times New Roman" w:hAnsi="Times New Roman"/>
                <w:b w:val="0"/>
                <w:sz w:val="15"/>
              </w:rPr>
              <w:t>Multi-hop propagation</w:t>
            </w:r>
          </w:p>
        </w:tc>
      </w:tr>
      <w:tr>
        <w:tc>
          <w:tcPr>
            <w:tcW w:type="dxa" w:w="2448"/>
          </w:tcPr>
          <w:p>
            <w:pPr>
              <w:spacing w:before="20" w:after="20"/>
              <w:jc w:val="left"/>
            </w:pPr>
            <w:r>
              <w:rPr>
                <w:rFonts w:ascii="Times New Roman" w:hAnsi="Times New Roman"/>
                <w:b w:val="0"/>
                <w:sz w:val="15"/>
              </w:rPr>
              <w:t>Simulated emitter geometry</w:t>
            </w:r>
          </w:p>
        </w:tc>
        <w:tc>
          <w:tcPr>
            <w:tcW w:type="dxa" w:w="2448"/>
          </w:tcPr>
          <w:p>
            <w:pPr>
              <w:spacing w:before="20" w:after="20"/>
              <w:jc w:val="center"/>
            </w:pPr>
            <w:r>
              <w:rPr>
                <w:rFonts w:ascii="Times New Roman" w:hAnsi="Times New Roman"/>
                <w:b w:val="0"/>
                <w:sz w:val="15"/>
              </w:rPr>
              <w:t>Real emitter tracks</w:t>
            </w:r>
          </w:p>
        </w:tc>
      </w:tr>
      <w:tr>
        <w:tc>
          <w:tcPr>
            <w:tcW w:type="dxa" w:w="2448"/>
          </w:tcPr>
          <w:p>
            <w:pPr>
              <w:spacing w:before="20" w:after="20"/>
              <w:jc w:val="left"/>
            </w:pPr>
            <w:r>
              <w:rPr>
                <w:rFonts w:ascii="Times New Roman" w:hAnsi="Times New Roman"/>
                <w:b w:val="0"/>
                <w:sz w:val="15"/>
              </w:rPr>
              <w:t>Solar Cycle 24 peak</w:t>
            </w:r>
          </w:p>
        </w:tc>
        <w:tc>
          <w:tcPr>
            <w:tcW w:type="dxa" w:w="2448"/>
          </w:tcPr>
          <w:p>
            <w:pPr>
              <w:spacing w:before="20" w:after="20"/>
              <w:jc w:val="center"/>
            </w:pPr>
            <w:r>
              <w:rPr>
                <w:rFonts w:ascii="Times New Roman" w:hAnsi="Times New Roman"/>
                <w:b w:val="0"/>
                <w:sz w:val="15"/>
              </w:rPr>
              <w:t>Other solar-cycle phases</w:t>
            </w:r>
          </w:p>
        </w:tc>
      </w:tr>
      <w:tr>
        <w:tc>
          <w:tcPr>
            <w:tcW w:type="dxa" w:w="2448"/>
          </w:tcPr>
          <w:p>
            <w:pPr>
              <w:spacing w:before="20" w:after="20"/>
              <w:jc w:val="left"/>
            </w:pPr>
            <w:r>
              <w:rPr>
                <w:rFonts w:ascii="Times New Roman" w:hAnsi="Times New Roman"/>
                <w:b w:val="0"/>
                <w:sz w:val="15"/>
              </w:rPr>
              <w:t>Within-distribution interpolation</w:t>
            </w:r>
          </w:p>
        </w:tc>
        <w:tc>
          <w:tcPr>
            <w:tcW w:type="dxa" w:w="2448"/>
          </w:tcPr>
          <w:p>
            <w:pPr>
              <w:spacing w:before="20" w:after="20"/>
              <w:jc w:val="center"/>
            </w:pPr>
            <w:r>
              <w:rPr>
                <w:rFonts w:ascii="Times New Roman" w:hAnsi="Times New Roman"/>
                <w:b w:val="0"/>
                <w:sz w:val="15"/>
              </w:rPr>
              <w:t>Cross-station generalization</w:t>
            </w:r>
          </w:p>
        </w:tc>
      </w:tr>
      <w:tr>
        <w:tc>
          <w:tcPr>
            <w:tcW w:type="dxa" w:w="2448"/>
          </w:tcPr>
          <w:p>
            <w:pPr>
              <w:spacing w:before="20" w:after="20"/>
              <w:jc w:val="left"/>
            </w:pPr>
            <w:r>
              <w:rPr>
                <w:rFonts w:ascii="Times New Roman" w:hAnsi="Times New Roman"/>
                <w:b w:val="0"/>
                <w:sz w:val="15"/>
              </w:rPr>
              <w:t>Bearing-error FoM, same-model isolation</w:t>
            </w:r>
          </w:p>
        </w:tc>
        <w:tc>
          <w:tcPr>
            <w:tcW w:type="dxa" w:w="2448"/>
          </w:tcPr>
          <w:p>
            <w:pPr>
              <w:spacing w:before="20" w:after="20"/>
              <w:jc w:val="center"/>
            </w:pPr>
            <w:r>
              <w:rPr>
                <w:rFonts w:ascii="Times New Roman" w:hAnsi="Times New Roman"/>
                <w:b w:val="0"/>
                <w:sz w:val="15"/>
              </w:rPr>
              <w:t>Combined model + bearing error</w:t>
            </w:r>
          </w:p>
        </w:tc>
      </w:tr>
    </w:tbl>
    <w:p>
      <w:pPr>
        <w:spacing w:after="120"/>
      </w:pPr>
    </w:p>
    <w:p>
      <w:pPr>
        <w:spacing w:after="80" w:before="0" w:line="240" w:lineRule="auto"/>
        <w:ind w:firstLine="259"/>
        <w:jc w:val="both"/>
      </w:pPr>
      <w:r>
        <w:rPr>
          <w:rFonts w:ascii="Times New Roman" w:hAnsi="Times New Roman"/>
          <w:sz w:val="20"/>
        </w:rPr>
        <w:t>Table V enumerates all nine documented limitations with their severity. Two are scope statements that define the deployment site rather than defects; the remainder are graded medium or low.</w:t>
      </w:r>
    </w:p>
    <w:p>
      <w:pPr>
        <w:spacing w:before="120" w:after="40"/>
        <w:jc w:val="center"/>
      </w:pPr>
      <w:r>
        <w:rPr>
          <w:rFonts w:ascii="Times New Roman" w:hAnsi="Times New Roman"/>
          <w:smallCaps/>
          <w:sz w:val="16"/>
        </w:rPr>
        <w:t>Table V.  Known Limitations and Severity</w:t>
      </w:r>
    </w:p>
    <w:tbl>
      <w:tblPr>
        <w:tblStyle w:val="TableGrid"/>
        <w:tblW w:type="auto" w:w="0"/>
        <w:jc w:val="center"/>
        <w:tblLayout w:type="fixed"/>
        <w:tblLook w:firstColumn="1" w:firstRow="1" w:lastColumn="0" w:lastRow="0" w:noHBand="0" w:noVBand="1" w:val="04A0"/>
      </w:tblPr>
      <w:tblGrid>
        <w:gridCol w:w="3480"/>
        <w:gridCol w:w="3480"/>
        <w:gridCol w:w="3480"/>
      </w:tblGrid>
      <w:tr>
        <w:tc>
          <w:tcPr>
            <w:tcW w:type="dxa" w:w="432"/>
          </w:tcPr>
          <w:p>
            <w:pPr>
              <w:spacing w:before="20" w:after="20"/>
              <w:jc w:val="left"/>
            </w:pPr>
            <w:r>
              <w:rPr>
                <w:rFonts w:ascii="Times New Roman" w:hAnsi="Times New Roman"/>
                <w:b/>
                <w:sz w:val="15"/>
              </w:rPr>
              <w:t>#</w:t>
            </w:r>
          </w:p>
        </w:tc>
        <w:tc>
          <w:tcPr>
            <w:tcW w:type="dxa" w:w="3672"/>
          </w:tcPr>
          <w:p>
            <w:pPr>
              <w:spacing w:before="20" w:after="20"/>
              <w:jc w:val="center"/>
            </w:pPr>
            <w:r>
              <w:rPr>
                <w:rFonts w:ascii="Times New Roman" w:hAnsi="Times New Roman"/>
                <w:b/>
                <w:sz w:val="15"/>
              </w:rPr>
              <w:t>Limitation</w:t>
            </w:r>
          </w:p>
        </w:tc>
        <w:tc>
          <w:tcPr>
            <w:tcW w:type="dxa" w:w="792"/>
          </w:tcPr>
          <w:p>
            <w:pPr>
              <w:spacing w:before="20" w:after="20"/>
              <w:jc w:val="center"/>
            </w:pPr>
            <w:r>
              <w:rPr>
                <w:rFonts w:ascii="Times New Roman" w:hAnsi="Times New Roman"/>
                <w:b/>
                <w:sz w:val="15"/>
              </w:rPr>
              <w:t>Severity</w:t>
            </w:r>
          </w:p>
        </w:tc>
      </w:tr>
      <w:tr>
        <w:tc>
          <w:tcPr>
            <w:tcW w:type="dxa" w:w="432"/>
          </w:tcPr>
          <w:p>
            <w:pPr>
              <w:spacing w:before="20" w:after="20"/>
              <w:jc w:val="left"/>
            </w:pPr>
            <w:r>
              <w:rPr>
                <w:rFonts w:ascii="Times New Roman" w:hAnsi="Times New Roman"/>
                <w:b w:val="0"/>
                <w:sz w:val="14"/>
              </w:rPr>
              <w:t>1</w:t>
            </w:r>
          </w:p>
        </w:tc>
        <w:tc>
          <w:tcPr>
            <w:tcW w:type="dxa" w:w="3672"/>
          </w:tcPr>
          <w:p>
            <w:pPr>
              <w:spacing w:before="20" w:after="20"/>
              <w:jc w:val="center"/>
            </w:pPr>
            <w:r>
              <w:rPr>
                <w:rFonts w:ascii="Times New Roman" w:hAnsi="Times New Roman"/>
                <w:b w:val="0"/>
                <w:sz w:val="14"/>
              </w:rPr>
              <w:t>Single station / season / geometry scope</w:t>
            </w:r>
          </w:p>
        </w:tc>
        <w:tc>
          <w:tcPr>
            <w:tcW w:type="dxa" w:w="792"/>
          </w:tcPr>
          <w:p>
            <w:pPr>
              <w:spacing w:before="20" w:after="20"/>
              <w:jc w:val="center"/>
            </w:pPr>
            <w:r>
              <w:rPr>
                <w:rFonts w:ascii="Times New Roman" w:hAnsi="Times New Roman"/>
                <w:b w:val="0"/>
                <w:sz w:val="14"/>
              </w:rPr>
              <w:t>Scope</w:t>
            </w:r>
          </w:p>
        </w:tc>
      </w:tr>
      <w:tr>
        <w:tc>
          <w:tcPr>
            <w:tcW w:type="dxa" w:w="432"/>
          </w:tcPr>
          <w:p>
            <w:pPr>
              <w:spacing w:before="20" w:after="20"/>
              <w:jc w:val="left"/>
            </w:pPr>
            <w:r>
              <w:rPr>
                <w:rFonts w:ascii="Times New Roman" w:hAnsi="Times New Roman"/>
                <w:b w:val="0"/>
                <w:sz w:val="14"/>
              </w:rPr>
              <w:t>2</w:t>
            </w:r>
          </w:p>
        </w:tc>
        <w:tc>
          <w:tcPr>
            <w:tcW w:type="dxa" w:w="3672"/>
          </w:tcPr>
          <w:p>
            <w:pPr>
              <w:spacing w:before="20" w:after="20"/>
              <w:jc w:val="center"/>
            </w:pPr>
            <w:r>
              <w:rPr>
                <w:rFonts w:ascii="Times New Roman" w:hAnsi="Times New Roman"/>
                <w:b w:val="0"/>
                <w:sz w:val="14"/>
              </w:rPr>
              <w:t>GP not validated on held-out station</w:t>
            </w:r>
          </w:p>
        </w:tc>
        <w:tc>
          <w:tcPr>
            <w:tcW w:type="dxa" w:w="792"/>
          </w:tcPr>
          <w:p>
            <w:pPr>
              <w:spacing w:before="20" w:after="20"/>
              <w:jc w:val="center"/>
            </w:pPr>
            <w:r>
              <w:rPr>
                <w:rFonts w:ascii="Times New Roman" w:hAnsi="Times New Roman"/>
                <w:b w:val="0"/>
                <w:sz w:val="14"/>
              </w:rPr>
              <w:t>Scope</w:t>
            </w:r>
          </w:p>
        </w:tc>
      </w:tr>
      <w:tr>
        <w:tc>
          <w:tcPr>
            <w:tcW w:type="dxa" w:w="432"/>
          </w:tcPr>
          <w:p>
            <w:pPr>
              <w:spacing w:before="20" w:after="20"/>
              <w:jc w:val="left"/>
            </w:pPr>
            <w:r>
              <w:rPr>
                <w:rFonts w:ascii="Times New Roman" w:hAnsi="Times New Roman"/>
                <w:b w:val="0"/>
                <w:sz w:val="14"/>
              </w:rPr>
              <w:t>3</w:t>
            </w:r>
          </w:p>
        </w:tc>
        <w:tc>
          <w:tcPr>
            <w:tcW w:type="dxa" w:w="3672"/>
          </w:tcPr>
          <w:p>
            <w:pPr>
              <w:spacing w:before="20" w:after="20"/>
              <w:jc w:val="center"/>
            </w:pPr>
            <w:r>
              <w:rPr>
                <w:rFonts w:ascii="Times New Roman" w:hAnsi="Times New Roman"/>
                <w:b w:val="0"/>
                <w:sz w:val="14"/>
              </w:rPr>
              <w:t>PyRayHF fixed at 5 MHz (D8)</w:t>
            </w:r>
          </w:p>
        </w:tc>
        <w:tc>
          <w:tcPr>
            <w:tcW w:type="dxa" w:w="792"/>
          </w:tcPr>
          <w:p>
            <w:pPr>
              <w:spacing w:before="20" w:after="20"/>
              <w:jc w:val="center"/>
            </w:pPr>
            <w:r>
              <w:rPr>
                <w:rFonts w:ascii="Times New Roman" w:hAnsi="Times New Roman"/>
                <w:b w:val="0"/>
                <w:sz w:val="14"/>
              </w:rPr>
              <w:t>Fixed</w:t>
            </w:r>
          </w:p>
        </w:tc>
      </w:tr>
      <w:tr>
        <w:tc>
          <w:tcPr>
            <w:tcW w:type="dxa" w:w="432"/>
          </w:tcPr>
          <w:p>
            <w:pPr>
              <w:spacing w:before="20" w:after="20"/>
              <w:jc w:val="left"/>
            </w:pPr>
            <w:r>
              <w:rPr>
                <w:rFonts w:ascii="Times New Roman" w:hAnsi="Times New Roman"/>
                <w:b w:val="0"/>
                <w:sz w:val="14"/>
              </w:rPr>
              <w:t>4</w:t>
            </w:r>
          </w:p>
        </w:tc>
        <w:tc>
          <w:tcPr>
            <w:tcW w:type="dxa" w:w="3672"/>
          </w:tcPr>
          <w:p>
            <w:pPr>
              <w:spacing w:before="20" w:after="20"/>
              <w:jc w:val="center"/>
            </w:pPr>
            <w:r>
              <w:rPr>
                <w:rFonts w:ascii="Times New Roman" w:hAnsi="Times New Roman"/>
                <w:b w:val="0"/>
                <w:sz w:val="14"/>
              </w:rPr>
              <w:t>F10.7 defaults to 130 SFU (D9) — OMNI2 auto-lookup</w:t>
            </w:r>
          </w:p>
        </w:tc>
        <w:tc>
          <w:tcPr>
            <w:tcW w:type="dxa" w:w="792"/>
          </w:tcPr>
          <w:p>
            <w:pPr>
              <w:spacing w:before="20" w:after="20"/>
              <w:jc w:val="center"/>
            </w:pPr>
            <w:r>
              <w:rPr>
                <w:rFonts w:ascii="Times New Roman" w:hAnsi="Times New Roman"/>
                <w:b w:val="0"/>
                <w:sz w:val="14"/>
              </w:rPr>
              <w:t>Fixed</w:t>
            </w:r>
          </w:p>
        </w:tc>
      </w:tr>
      <w:tr>
        <w:tc>
          <w:tcPr>
            <w:tcW w:type="dxa" w:w="432"/>
          </w:tcPr>
          <w:p>
            <w:pPr>
              <w:spacing w:before="20" w:after="20"/>
              <w:jc w:val="left"/>
            </w:pPr>
            <w:r>
              <w:rPr>
                <w:rFonts w:ascii="Times New Roman" w:hAnsi="Times New Roman"/>
                <w:b w:val="0"/>
                <w:sz w:val="14"/>
              </w:rPr>
              <w:t>5</w:t>
            </w:r>
          </w:p>
        </w:tc>
        <w:tc>
          <w:tcPr>
            <w:tcW w:type="dxa" w:w="3672"/>
          </w:tcPr>
          <w:p>
            <w:pPr>
              <w:spacing w:before="20" w:after="20"/>
              <w:jc w:val="center"/>
            </w:pPr>
            <w:r>
              <w:rPr>
                <w:rFonts w:ascii="Times New Roman" w:hAnsi="Times New Roman"/>
                <w:b w:val="0"/>
                <w:sz w:val="14"/>
              </w:rPr>
              <w:t>A-CHAIM never fires at India geometry</w:t>
            </w:r>
          </w:p>
        </w:tc>
        <w:tc>
          <w:tcPr>
            <w:tcW w:type="dxa" w:w="792"/>
          </w:tcPr>
          <w:p>
            <w:pPr>
              <w:spacing w:before="20" w:after="20"/>
              <w:jc w:val="center"/>
            </w:pPr>
            <w:r>
              <w:rPr>
                <w:rFonts w:ascii="Times New Roman" w:hAnsi="Times New Roman"/>
                <w:b w:val="0"/>
                <w:sz w:val="14"/>
              </w:rPr>
              <w:t>Low</w:t>
            </w:r>
          </w:p>
        </w:tc>
      </w:tr>
      <w:tr>
        <w:tc>
          <w:tcPr>
            <w:tcW w:type="dxa" w:w="432"/>
          </w:tcPr>
          <w:p>
            <w:pPr>
              <w:spacing w:before="20" w:after="20"/>
              <w:jc w:val="left"/>
            </w:pPr>
            <w:r>
              <w:rPr>
                <w:rFonts w:ascii="Times New Roman" w:hAnsi="Times New Roman"/>
                <w:b w:val="0"/>
                <w:sz w:val="14"/>
              </w:rPr>
              <w:t>6</w:t>
            </w:r>
          </w:p>
        </w:tc>
        <w:tc>
          <w:tcPr>
            <w:tcW w:type="dxa" w:w="3672"/>
          </w:tcPr>
          <w:p>
            <w:pPr>
              <w:spacing w:before="20" w:after="20"/>
              <w:jc w:val="center"/>
            </w:pPr>
            <w:r>
              <w:rPr>
                <w:rFonts w:ascii="Times New Roman" w:hAnsi="Times New Roman"/>
                <w:b w:val="0"/>
                <w:sz w:val="14"/>
              </w:rPr>
              <w:t>Storm GP trained on 52 rows</w:t>
            </w:r>
          </w:p>
        </w:tc>
        <w:tc>
          <w:tcPr>
            <w:tcW w:type="dxa" w:w="792"/>
          </w:tcPr>
          <w:p>
            <w:pPr>
              <w:spacing w:before="20" w:after="20"/>
              <w:jc w:val="center"/>
            </w:pPr>
            <w:r>
              <w:rPr>
                <w:rFonts w:ascii="Times New Roman" w:hAnsi="Times New Roman"/>
                <w:b w:val="0"/>
                <w:sz w:val="14"/>
              </w:rPr>
              <w:t>High</w:t>
            </w:r>
          </w:p>
        </w:tc>
      </w:tr>
      <w:tr>
        <w:tc>
          <w:tcPr>
            <w:tcW w:type="dxa" w:w="432"/>
          </w:tcPr>
          <w:p>
            <w:pPr>
              <w:spacing w:before="20" w:after="20"/>
              <w:jc w:val="left"/>
            </w:pPr>
            <w:r>
              <w:rPr>
                <w:rFonts w:ascii="Times New Roman" w:hAnsi="Times New Roman"/>
                <w:b w:val="0"/>
                <w:sz w:val="14"/>
              </w:rPr>
              <w:t>7</w:t>
            </w:r>
          </w:p>
        </w:tc>
        <w:tc>
          <w:tcPr>
            <w:tcW w:type="dxa" w:w="3672"/>
          </w:tcPr>
          <w:p>
            <w:pPr>
              <w:spacing w:before="20" w:after="20"/>
              <w:jc w:val="center"/>
            </w:pPr>
            <w:r>
              <w:rPr>
                <w:rFonts w:ascii="Times New Roman" w:hAnsi="Times New Roman"/>
                <w:b w:val="0"/>
                <w:sz w:val="14"/>
              </w:rPr>
              <w:t>Two-call model inconsistency at 60°N</w:t>
            </w:r>
          </w:p>
        </w:tc>
        <w:tc>
          <w:tcPr>
            <w:tcW w:type="dxa" w:w="792"/>
          </w:tcPr>
          <w:p>
            <w:pPr>
              <w:spacing w:before="20" w:after="20"/>
              <w:jc w:val="center"/>
            </w:pPr>
            <w:r>
              <w:rPr>
                <w:rFonts w:ascii="Times New Roman" w:hAnsi="Times New Roman"/>
                <w:b w:val="0"/>
                <w:sz w:val="14"/>
              </w:rPr>
              <w:t>Fixed</w:t>
            </w:r>
          </w:p>
        </w:tc>
      </w:tr>
      <w:tr>
        <w:tc>
          <w:tcPr>
            <w:tcW w:type="dxa" w:w="432"/>
          </w:tcPr>
          <w:p>
            <w:pPr>
              <w:spacing w:before="20" w:after="20"/>
              <w:jc w:val="left"/>
            </w:pPr>
            <w:r>
              <w:rPr>
                <w:rFonts w:ascii="Times New Roman" w:hAnsi="Times New Roman"/>
                <w:b w:val="0"/>
                <w:sz w:val="14"/>
              </w:rPr>
              <w:t>8</w:t>
            </w:r>
          </w:p>
        </w:tc>
        <w:tc>
          <w:tcPr>
            <w:tcW w:type="dxa" w:w="3672"/>
          </w:tcPr>
          <w:p>
            <w:pPr>
              <w:spacing w:before="20" w:after="20"/>
              <w:jc w:val="center"/>
            </w:pPr>
            <w:r>
              <w:rPr>
                <w:rFonts w:ascii="Times New Roman" w:hAnsi="Times New Roman"/>
                <w:b w:val="0"/>
                <w:sz w:val="14"/>
              </w:rPr>
              <w:t>Antimeridian midpoint arithmetic</w:t>
            </w:r>
          </w:p>
        </w:tc>
        <w:tc>
          <w:tcPr>
            <w:tcW w:type="dxa" w:w="792"/>
          </w:tcPr>
          <w:p>
            <w:pPr>
              <w:spacing w:before="20" w:after="20"/>
              <w:jc w:val="center"/>
            </w:pPr>
            <w:r>
              <w:rPr>
                <w:rFonts w:ascii="Times New Roman" w:hAnsi="Times New Roman"/>
                <w:b w:val="0"/>
                <w:sz w:val="14"/>
              </w:rPr>
              <w:t>Fixed</w:t>
            </w:r>
          </w:p>
        </w:tc>
      </w:tr>
      <w:tr>
        <w:tc>
          <w:tcPr>
            <w:tcW w:type="dxa" w:w="432"/>
          </w:tcPr>
          <w:p>
            <w:pPr>
              <w:spacing w:before="20" w:after="20"/>
              <w:jc w:val="left"/>
            </w:pPr>
            <w:r>
              <w:rPr>
                <w:rFonts w:ascii="Times New Roman" w:hAnsi="Times New Roman"/>
                <w:b w:val="0"/>
                <w:sz w:val="14"/>
              </w:rPr>
              <w:t>9</w:t>
            </w:r>
          </w:p>
        </w:tc>
        <w:tc>
          <w:tcPr>
            <w:tcW w:type="dxa" w:w="3672"/>
          </w:tcPr>
          <w:p>
            <w:pPr>
              <w:spacing w:before="20" w:after="20"/>
              <w:jc w:val="center"/>
            </w:pPr>
            <w:r>
              <w:rPr>
                <w:rFonts w:ascii="Times New Roman" w:hAnsi="Times New Roman"/>
                <w:b w:val="0"/>
                <w:sz w:val="14"/>
              </w:rPr>
              <w:t>No inter-annual temporal validation</w:t>
            </w:r>
          </w:p>
        </w:tc>
        <w:tc>
          <w:tcPr>
            <w:tcW w:type="dxa" w:w="792"/>
          </w:tcPr>
          <w:p>
            <w:pPr>
              <w:spacing w:before="20" w:after="20"/>
              <w:jc w:val="center"/>
            </w:pPr>
            <w:r>
              <w:rPr>
                <w:rFonts w:ascii="Times New Roman" w:hAnsi="Times New Roman"/>
                <w:b w:val="0"/>
                <w:sz w:val="14"/>
              </w:rPr>
              <w:t>Scope</w:t>
            </w:r>
          </w:p>
        </w:tc>
      </w:tr>
    </w:tbl>
    <w:p>
      <w:pPr>
        <w:spacing w:after="120"/>
      </w:pPr>
    </w:p>
    <w:p>
      <w:pPr>
        <w:spacing w:after="80" w:before="0" w:line="240" w:lineRule="auto"/>
        <w:ind w:firstLine="259"/>
        <w:jc w:val="both"/>
      </w:pPr>
      <w:r>
        <w:rPr>
          <w:rFonts w:ascii="Times New Roman" w:hAnsi="Times New Roman"/>
          <w:sz w:val="20"/>
        </w:rPr>
        <w:t>One limitation deserves emphasis: the storm GP's 52 training rows are a very small sample for a Gaussian process. At this data volume the longitude kernel collapses (length scale → 0), the posterior inflates quickly away from training points, and the correction is marginal (Table II). Storm-time corrections should be treated with caution until the population is expanded — the highest-priority validation item. The frequency-consistency defect that previously compounded this (D8) is fixed: the ray tracer now runs at the request frequency, and its correction additionally exposed and resolved a find_vh interface misuse that had inflated storm baselines (see Table VI).</w:t>
      </w:r>
    </w:p>
    <w:p>
      <w:pPr>
        <w:spacing w:before="80" w:after="40"/>
      </w:pPr>
      <w:r>
        <w:rPr>
          <w:rFonts w:ascii="Times New Roman" w:hAnsi="Times New Roman"/>
          <w:i/>
          <w:sz w:val="20"/>
        </w:rPr>
        <w:t xml:space="preserve">A. </w:t>
      </w:r>
      <w:r>
        <w:rPr>
          <w:rFonts w:ascii="Times New Roman" w:hAnsi="Times New Roman"/>
          <w:i/>
          <w:sz w:val="20"/>
        </w:rPr>
        <w:t>Defect ledger</w:t>
      </w:r>
    </w:p>
    <w:p>
      <w:pPr>
        <w:spacing w:after="80" w:before="0" w:line="240" w:lineRule="auto"/>
        <w:ind w:firstLine="259"/>
        <w:jc w:val="both"/>
      </w:pPr>
      <w:r>
        <w:rPr>
          <w:rFonts w:ascii="Times New Roman" w:hAnsi="Times New Roman"/>
          <w:sz w:val="20"/>
        </w:rPr>
        <w:t>Catching and resolving defects during engineering review is a strength of the process, not a weakness to hide. Table VI records the principal defects found and their resolution.</w:t>
      </w:r>
    </w:p>
    <w:p>
      <w:pPr>
        <w:spacing w:before="120" w:after="40"/>
        <w:jc w:val="center"/>
      </w:pPr>
      <w:r>
        <w:rPr>
          <w:rFonts w:ascii="Times New Roman" w:hAnsi="Times New Roman"/>
          <w:smallCaps/>
          <w:sz w:val="16"/>
        </w:rPr>
        <w:t>Table VI.  Defect Ledger</w:t>
      </w:r>
    </w:p>
    <w:tbl>
      <w:tblPr>
        <w:tblStyle w:val="TableGrid"/>
        <w:tblW w:type="auto" w:w="0"/>
        <w:jc w:val="center"/>
        <w:tblLayout w:type="fixed"/>
        <w:tblLook w:firstColumn="1" w:firstRow="1" w:lastColumn="0" w:lastRow="0" w:noHBand="0" w:noVBand="1" w:val="04A0"/>
      </w:tblPr>
      <w:tblGrid>
        <w:gridCol w:w="5220"/>
        <w:gridCol w:w="5220"/>
      </w:tblGrid>
      <w:tr>
        <w:tc>
          <w:tcPr>
            <w:tcW w:type="dxa" w:w="3384"/>
          </w:tcPr>
          <w:p>
            <w:pPr>
              <w:spacing w:before="20" w:after="20"/>
              <w:jc w:val="left"/>
            </w:pPr>
            <w:r>
              <w:rPr>
                <w:rFonts w:ascii="Times New Roman" w:hAnsi="Times New Roman"/>
                <w:b/>
                <w:sz w:val="15"/>
              </w:rPr>
              <w:t>Defect</w:t>
            </w:r>
          </w:p>
        </w:tc>
        <w:tc>
          <w:tcPr>
            <w:tcW w:type="dxa" w:w="1512"/>
          </w:tcPr>
          <w:p>
            <w:pPr>
              <w:spacing w:before="20" w:after="20"/>
              <w:jc w:val="center"/>
            </w:pPr>
            <w:r>
              <w:rPr>
                <w:rFonts w:ascii="Times New Roman" w:hAnsi="Times New Roman"/>
                <w:b/>
                <w:sz w:val="15"/>
              </w:rPr>
              <w:t>Status</w:t>
            </w:r>
          </w:p>
        </w:tc>
      </w:tr>
      <w:tr>
        <w:tc>
          <w:tcPr>
            <w:tcW w:type="dxa" w:w="3384"/>
          </w:tcPr>
          <w:p>
            <w:pPr>
              <w:spacing w:before="20" w:after="20"/>
              <w:jc w:val="left"/>
            </w:pPr>
            <w:r>
              <w:rPr>
                <w:rFonts w:ascii="Times New Roman" w:hAnsi="Times New Roman"/>
                <w:b w:val="0"/>
                <w:sz w:val="14"/>
              </w:rPr>
              <w:t>foF2 unit error (D-series)</w:t>
            </w:r>
          </w:p>
        </w:tc>
        <w:tc>
          <w:tcPr>
            <w:tcW w:type="dxa" w:w="1512"/>
          </w:tcPr>
          <w:p>
            <w:pPr>
              <w:spacing w:before="20" w:after="20"/>
              <w:jc w:val="center"/>
            </w:pPr>
            <w:r>
              <w:rPr>
                <w:rFonts w:ascii="Times New Roman" w:hAnsi="Times New Roman"/>
                <w:b w:val="0"/>
                <w:sz w:val="14"/>
              </w:rPr>
              <w:t>Fixed</w:t>
            </w:r>
          </w:p>
        </w:tc>
      </w:tr>
      <w:tr>
        <w:tc>
          <w:tcPr>
            <w:tcW w:type="dxa" w:w="3384"/>
          </w:tcPr>
          <w:p>
            <w:pPr>
              <w:spacing w:before="20" w:after="20"/>
              <w:jc w:val="left"/>
            </w:pPr>
            <w:r>
              <w:rPr>
                <w:rFonts w:ascii="Times New Roman" w:hAnsi="Times New Roman"/>
                <w:b w:val="0"/>
                <w:sz w:val="14"/>
              </w:rPr>
              <w:t>IRI hmF2 null sentinel → HTTP 503 guard</w:t>
            </w:r>
          </w:p>
        </w:tc>
        <w:tc>
          <w:tcPr>
            <w:tcW w:type="dxa" w:w="1512"/>
          </w:tcPr>
          <w:p>
            <w:pPr>
              <w:spacing w:before="20" w:after="20"/>
              <w:jc w:val="center"/>
            </w:pPr>
            <w:r>
              <w:rPr>
                <w:rFonts w:ascii="Times New Roman" w:hAnsi="Times New Roman"/>
                <w:b w:val="0"/>
                <w:sz w:val="14"/>
              </w:rPr>
              <w:t>Fixed</w:t>
            </w:r>
          </w:p>
        </w:tc>
      </w:tr>
      <w:tr>
        <w:tc>
          <w:tcPr>
            <w:tcW w:type="dxa" w:w="3384"/>
          </w:tcPr>
          <w:p>
            <w:pPr>
              <w:spacing w:before="20" w:after="20"/>
              <w:jc w:val="left"/>
            </w:pPr>
            <w:r>
              <w:rPr>
                <w:rFonts w:ascii="Times New Roman" w:hAnsi="Times New Roman"/>
                <w:b w:val="0"/>
                <w:sz w:val="14"/>
              </w:rPr>
              <w:t>scikit-learn version retrain (pinned)</w:t>
            </w:r>
          </w:p>
        </w:tc>
        <w:tc>
          <w:tcPr>
            <w:tcW w:type="dxa" w:w="1512"/>
          </w:tcPr>
          <w:p>
            <w:pPr>
              <w:spacing w:before="20" w:after="20"/>
              <w:jc w:val="center"/>
            </w:pPr>
            <w:r>
              <w:rPr>
                <w:rFonts w:ascii="Times New Roman" w:hAnsi="Times New Roman"/>
                <w:b w:val="0"/>
                <w:sz w:val="14"/>
              </w:rPr>
              <w:t>Fixed</w:t>
            </w:r>
          </w:p>
        </w:tc>
      </w:tr>
      <w:tr>
        <w:tc>
          <w:tcPr>
            <w:tcW w:type="dxa" w:w="3384"/>
          </w:tcPr>
          <w:p>
            <w:pPr>
              <w:spacing w:before="20" w:after="20"/>
              <w:jc w:val="left"/>
            </w:pPr>
            <w:r>
              <w:rPr>
                <w:rFonts w:ascii="Times New Roman" w:hAnsi="Times New Roman"/>
                <w:b w:val="0"/>
                <w:sz w:val="14"/>
              </w:rPr>
              <w:t>GP kernel collapse (mixed population)</w:t>
            </w:r>
          </w:p>
        </w:tc>
        <w:tc>
          <w:tcPr>
            <w:tcW w:type="dxa" w:w="1512"/>
          </w:tcPr>
          <w:p>
            <w:pPr>
              <w:spacing w:before="20" w:after="20"/>
              <w:jc w:val="center"/>
            </w:pPr>
            <w:r>
              <w:rPr>
                <w:rFonts w:ascii="Times New Roman" w:hAnsi="Times New Roman"/>
                <w:b w:val="0"/>
                <w:sz w:val="14"/>
              </w:rPr>
              <w:t>Fixed (per-population)</w:t>
            </w:r>
          </w:p>
        </w:tc>
      </w:tr>
      <w:tr>
        <w:tc>
          <w:tcPr>
            <w:tcW w:type="dxa" w:w="3384"/>
          </w:tcPr>
          <w:p>
            <w:pPr>
              <w:spacing w:before="20" w:after="20"/>
              <w:jc w:val="left"/>
            </w:pPr>
            <w:r>
              <w:rPr>
                <w:rFonts w:ascii="Times New Roman" w:hAnsi="Times New Roman"/>
                <w:b w:val="0"/>
                <w:sz w:val="14"/>
              </w:rPr>
              <w:t>selected_model vs model_used audit trail (D1)</w:t>
            </w:r>
          </w:p>
        </w:tc>
        <w:tc>
          <w:tcPr>
            <w:tcW w:type="dxa" w:w="1512"/>
          </w:tcPr>
          <w:p>
            <w:pPr>
              <w:spacing w:before="20" w:after="20"/>
              <w:jc w:val="center"/>
            </w:pPr>
            <w:r>
              <w:rPr>
                <w:rFonts w:ascii="Times New Roman" w:hAnsi="Times New Roman"/>
                <w:b w:val="0"/>
                <w:sz w:val="14"/>
              </w:rPr>
              <w:t>Fixed</w:t>
            </w:r>
          </w:p>
        </w:tc>
      </w:tr>
      <w:tr>
        <w:tc>
          <w:tcPr>
            <w:tcW w:type="dxa" w:w="3384"/>
          </w:tcPr>
          <w:p>
            <w:pPr>
              <w:spacing w:before="20" w:after="20"/>
              <w:jc w:val="left"/>
            </w:pPr>
            <w:r>
              <w:rPr>
                <w:rFonts w:ascii="Times New Roman" w:hAnsi="Times New Roman"/>
                <w:b w:val="0"/>
                <w:sz w:val="14"/>
              </w:rPr>
              <w:t>MUF warning (D12)</w:t>
            </w:r>
          </w:p>
        </w:tc>
        <w:tc>
          <w:tcPr>
            <w:tcW w:type="dxa" w:w="1512"/>
          </w:tcPr>
          <w:p>
            <w:pPr>
              <w:spacing w:before="20" w:after="20"/>
              <w:jc w:val="center"/>
            </w:pPr>
            <w:r>
              <w:rPr>
                <w:rFonts w:ascii="Times New Roman" w:hAnsi="Times New Roman"/>
                <w:b w:val="0"/>
                <w:sz w:val="14"/>
              </w:rPr>
              <w:t>Fixed</w:t>
            </w:r>
          </w:p>
        </w:tc>
      </w:tr>
      <w:tr>
        <w:tc>
          <w:tcPr>
            <w:tcW w:type="dxa" w:w="3384"/>
          </w:tcPr>
          <w:p>
            <w:pPr>
              <w:spacing w:before="20" w:after="20"/>
              <w:jc w:val="left"/>
            </w:pPr>
            <w:r>
              <w:rPr>
                <w:rFonts w:ascii="Times New Roman" w:hAnsi="Times New Roman"/>
                <w:b w:val="0"/>
                <w:sz w:val="14"/>
              </w:rPr>
              <w:t>PyRayHF fixed at 5 MHz (D8)</w:t>
            </w:r>
          </w:p>
        </w:tc>
        <w:tc>
          <w:tcPr>
            <w:tcW w:type="dxa" w:w="1512"/>
          </w:tcPr>
          <w:p>
            <w:pPr>
              <w:spacing w:before="20" w:after="20"/>
              <w:jc w:val="center"/>
            </w:pPr>
            <w:r>
              <w:rPr>
                <w:rFonts w:ascii="Times New Roman" w:hAnsi="Times New Roman"/>
                <w:b w:val="0"/>
                <w:sz w:val="14"/>
              </w:rPr>
              <w:t>Fixed</w:t>
            </w:r>
          </w:p>
        </w:tc>
      </w:tr>
      <w:tr>
        <w:tc>
          <w:tcPr>
            <w:tcW w:type="dxa" w:w="3384"/>
          </w:tcPr>
          <w:p>
            <w:pPr>
              <w:spacing w:before="20" w:after="20"/>
              <w:jc w:val="left"/>
            </w:pPr>
            <w:r>
              <w:rPr>
                <w:rFonts w:ascii="Times New Roman" w:hAnsi="Times New Roman"/>
                <w:b w:val="0"/>
                <w:sz w:val="14"/>
              </w:rPr>
              <w:t>find_vh shape misuse (per-layer value, not integral)</w:t>
            </w:r>
          </w:p>
        </w:tc>
        <w:tc>
          <w:tcPr>
            <w:tcW w:type="dxa" w:w="1512"/>
          </w:tcPr>
          <w:p>
            <w:pPr>
              <w:spacing w:before="20" w:after="20"/>
              <w:jc w:val="center"/>
            </w:pPr>
            <w:r>
              <w:rPr>
                <w:rFonts w:ascii="Times New Roman" w:hAnsi="Times New Roman"/>
                <w:b w:val="0"/>
                <w:sz w:val="14"/>
              </w:rPr>
              <w:t>Fixed</w:t>
            </w:r>
          </w:p>
        </w:tc>
      </w:tr>
    </w:tbl>
    <w:p>
      <w:pPr>
        <w:spacing w:after="120"/>
      </w:pPr>
    </w:p>
    <w:p>
      <w:pPr>
        <w:spacing w:after="80" w:before="0" w:line="240" w:lineRule="auto"/>
        <w:ind w:firstLine="259"/>
        <w:jc w:val="both"/>
      </w:pPr>
      <w:r>
        <w:rPr>
          <w:rFonts w:ascii="Times New Roman" w:hAnsi="Times New Roman"/>
          <w:sz w:val="20"/>
        </w:rPr>
        <w:t>Each ledger entry was caught during engineering review and either resolved or explicitly tracked. The foF2 unit error was a thousand-fold scaling mistake in the critical-frequency formula; the null-sentinel guard converts a missing IRI hmF2 into a clean HTTP 503 instead of a 500 traceback during a live demonstration; the scikit-learn version is pinned so the serialised GP models load deterministically; and the kernel-collapse defect motivated the per-population split described in Section V. The find_vh entry records that fixing D8 exposed a deeper defect: the wrapper fed per-layer arrays into an interface that integrates across layers, so the reported virtual height was a per-layer quantity rather than the group-refractive-index integral — the source of the retracted pre-D8 storm figures. The two geometric limitations formerly documented here (two-pass model mixing at the 60° boundary and antimeridian midpoint arithmetic) are now fixed via selection pinning and a circular-mean midpoint. One coverage gap remains open: the A-CHAIM branch receives no test coverage at India geometry and would be exercised before a polar deployment.</w:t>
      </w:r>
    </w:p>
    <w:p>
      <w:pPr>
        <w:spacing w:before="160" w:after="60"/>
        <w:jc w:val="center"/>
      </w:pPr>
      <w:r>
        <w:rPr>
          <w:rFonts w:ascii="Times New Roman" w:hAnsi="Times New Roman"/>
          <w:smallCaps/>
          <w:sz w:val="20"/>
        </w:rPr>
        <w:t>IX.  PATH TO OPERATIONAL USE</w:t>
      </w:r>
    </w:p>
    <w:p>
      <w:pPr>
        <w:spacing w:after="80" w:before="0" w:line="240" w:lineRule="auto"/>
        <w:ind w:firstLine="259"/>
        <w:jc w:val="both"/>
      </w:pPr>
      <w:r>
        <w:rPr>
          <w:rFonts w:ascii="Times New Roman" w:hAnsi="Times New Roman"/>
          <w:sz w:val="20"/>
        </w:rPr>
        <w:t>Fielding this system operationally requires closing the generalization gap that Section VI states honestly. The priority is multi-station validation: training on a set of ionosonde stations and evaluating on a held-out station (“Approach B”) to produce a cross-station generalization score rather than an interpolation score. Beyond that, the system needs validation against real emitter tracks instead of simulated geometry, and across seasons and solar-cycle phases outside the 2012 training window. The bearing-error figure of merit of Section VII should likewise be extended with larger noise-realization budgets (the current grid uses one draw per signal per cell) and a cross-model mismatch variant that measures combined model-plus-bearing error.</w:t>
      </w:r>
    </w:p>
    <w:p>
      <w:pPr>
        <w:spacing w:after="80" w:before="0" w:line="240" w:lineRule="auto"/>
        <w:ind w:firstLine="259"/>
        <w:jc w:val="both"/>
      </w:pPr>
      <w:r>
        <w:rPr>
          <w:rFonts w:ascii="Times New Roman" w:hAnsi="Times New Roman"/>
          <w:sz w:val="20"/>
        </w:rPr>
        <w:t>Several engineering paths are already scoped. The storm slot is architecturally complete behind a model-agnostic interface; integrating the SAMI3 first-principles physics model in place of the PyRayHF proxy awaits real-time data access. The ionospheric baseline can be upgraded from IRI-2016 to IRI-2020. The F10.7 solar-flux index is now auto-populated per observation date via an OMNI2 lookup with a cached, offline-safe fallback to 130 SFU, and each response reports the value and source used. The most consequential open item is storm-time data volume: with the ray tracer now running at the request frequency, the reflecting storm population is 66 rows — expanding it with additional storm-time ionosonde data is the top priority before storm-time corrections can be relied upon.</w:t>
      </w:r>
    </w:p>
    <w:p>
      <w:pPr>
        <w:spacing w:after="80" w:before="0" w:line="240" w:lineRule="auto"/>
        <w:ind w:firstLine="259"/>
        <w:jc w:val="both"/>
      </w:pPr>
      <w:r>
        <w:rPr>
          <w:rFonts w:ascii="Times New Roman" w:hAnsi="Times New Roman"/>
          <w:sz w:val="20"/>
        </w:rPr>
        <w:t>Air-gapped deployment is already supported. The Leaflet mapping library is bundled and served locally with no CDN dependency, and the entire geolocation pipeline—Python code, model files, and overlay logic—runs fully offline. Only live map-tile imagery requires external connectivity, and that can be replaced with a pre-cached local tile set for a fully air-gapped installation.</w:t>
      </w:r>
    </w:p>
    <w:p>
      <w:pPr>
        <w:spacing w:before="160" w:after="60"/>
        <w:jc w:val="center"/>
      </w:pPr>
      <w:r>
        <w:rPr>
          <w:rFonts w:ascii="Times New Roman" w:hAnsi="Times New Roman"/>
          <w:smallCaps/>
          <w:sz w:val="20"/>
        </w:rPr>
        <w:t>References</w:t>
      </w:r>
    </w:p>
    <w:p>
      <w:pPr>
        <w:spacing w:after="40"/>
        <w:ind w:left="259" w:hanging="259"/>
        <w:jc w:val="both"/>
      </w:pPr>
      <w:r>
        <w:rPr>
          <w:rFonts w:ascii="Times New Roman" w:hAnsi="Times New Roman"/>
          <w:sz w:val="16"/>
        </w:rPr>
        <w:t>[1] D. Bilitza et al., “The International Reference Ionosphere (IRI),” IRI Working Group, model series (IRI-2016).</w:t>
      </w:r>
    </w:p>
    <w:p>
      <w:pPr>
        <w:spacing w:after="40"/>
        <w:ind w:left="259" w:hanging="259"/>
        <w:jc w:val="both"/>
      </w:pPr>
      <w:r>
        <w:rPr>
          <w:rFonts w:ascii="Times New Roman" w:hAnsi="Times New Roman"/>
          <w:sz w:val="16"/>
        </w:rPr>
        <w:t>[2] I. Galkin et al., “IRTAM: IRI-based Real-Time Assimilative Model,” University of Massachusetts Lowell, GIRO.</w:t>
      </w:r>
    </w:p>
    <w:p>
      <w:pPr>
        <w:spacing w:after="40"/>
        <w:ind w:left="259" w:hanging="259"/>
        <w:jc w:val="both"/>
      </w:pPr>
      <w:r>
        <w:rPr>
          <w:rFonts w:ascii="Times New Roman" w:hAnsi="Times New Roman"/>
          <w:sz w:val="16"/>
        </w:rPr>
        <w:t>[3] A-CHAIM: Advanced Canadian High Arctic Ionospheric Model, v6.0.3, Natural Resources Canada.</w:t>
      </w:r>
    </w:p>
    <w:p>
      <w:pPr>
        <w:spacing w:after="40"/>
        <w:ind w:left="259" w:hanging="259"/>
        <w:jc w:val="both"/>
      </w:pPr>
      <w:r>
        <w:rPr>
          <w:rFonts w:ascii="Times New Roman" w:hAnsi="Times New Roman"/>
          <w:sz w:val="16"/>
        </w:rPr>
        <w:t>[4] PyRayHF HF ray-tracing library (Appleton–Hartree formulation over IRI electron-density profiles).</w:t>
      </w:r>
    </w:p>
    <w:p>
      <w:pPr>
        <w:spacing w:after="40"/>
        <w:ind w:left="259" w:hanging="259"/>
        <w:jc w:val="both"/>
      </w:pPr>
      <w:r>
        <w:rPr>
          <w:rFonts w:ascii="Times New Roman" w:hAnsi="Times New Roman"/>
          <w:sz w:val="16"/>
        </w:rPr>
        <w:t>[5] GIRO Global Ionosphere Radio Observatory, station AH223 (Ahmedabad, 23.0°N, 72.6°E).</w:t>
      </w:r>
    </w:p>
    <w:p>
      <w:pPr>
        <w:spacing w:after="40"/>
        <w:ind w:left="259" w:hanging="259"/>
        <w:jc w:val="both"/>
      </w:pPr>
      <w:r>
        <w:rPr>
          <w:rFonts w:ascii="Times New Roman" w:hAnsi="Times New Roman"/>
          <w:sz w:val="16"/>
        </w:rPr>
        <w:t>[6] NASA OMNIWeb / OMNI2 space-weather indices (Kp, Dst, F10.7).</w:t>
      </w:r>
    </w:p>
    <w:p>
      <w:pPr>
        <w:spacing w:after="40"/>
        <w:ind w:left="259" w:hanging="259"/>
        <w:jc w:val="both"/>
      </w:pPr>
      <w:r>
        <w:rPr>
          <w:rFonts w:ascii="Times New Roman" w:hAnsi="Times New Roman"/>
          <w:sz w:val="16"/>
        </w:rPr>
        <w:t>[7] C. E. Rasmussen and C. K. I. Williams, Gaussian Processes for Machine Learning, MIT Press, 2006.</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