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The Wrong Baseline: How Variance-Reduced Monte Carlo Erases Quantum Amplitude Estimation's Advantage in Option Pricing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Prithvi Raghu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Department of Computer Science, Vellore Institute of Technology, Vellore, India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prithviraghu080706@gmail.com</w:t>
      </w:r>
    </w:p>
    <w:p>
      <w:pPr>
        <w:pBdr>
          <w:bottom w:val="single" w:color="AAAAAA" w:sz="2" w:space="1"/>
        </w:pBdr>
        <w:spacing w:after="60" w:before="60"/>
      </w:pPr>
    </w:p>
    <w:p>
      <w:r>
        <w:rPr>
          <w:sz w:val="24"/>
          <w:szCs w:val="24"/>
        </w:rP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</w:t>
      </w:r>
    </w:p>
    <w:p>
      <w:pPr>
        <w:spacing w:after="200" w:before="0"/>
        <w:ind w:left="720" w:right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Quantum Amplitude Estimation (QAE) is widely cited as offering a quadratic speedup over Monte Carlo (MC) for option pricing, with the break-even crossover established against naive MC at O(1/√N) convergence. However, practitioners do not deploy naive MC — they use variance-reduced estimators including antithetic variates, control variates, and quasi-Monte Carlo (QMC) methods. This paper re-derives the break-even equation under each of these classical baselines. We show that: (1) antithetic variates (VRF ≈2.0×) and control variates (VRF ≈6.8×) shift the crossover by √VRF, requiring QAE to work 1.4× and 2.6× harder respectively; (2) Randomized QMC (RQMC) using Sobol sequences achieves an empirical convergence slope of −1.04 ≈ O(1/N) — the same asymptotic scaling QAE claims — on the standard European call benchmark, erasing the quadratic advantage entirely; and (3) RQMC's advantage decays with problem dimension, degrading from slope −1.14 at d=1 toward −0.65 at d=64, converging to the classical O(1/√N) floor near d=16–32. Together, these results demonstrate that the QAE advantage in European option pricing is an artifact of benchmarking against a weak classical baseline, and that the quantum-advantage regime is confined to high-dimensional, path-dependent payoffs where RQMC's low-discrepancy properties deteriorate.</w:t>
      </w:r>
    </w:p>
    <w:p>
      <w:pPr>
        <w:spacing w:after="200" w:before="0"/>
        <w:ind w:left="720" w:right="72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Keywords — Quantum Amplitude Estimation, Monte Carlo, Quasi-Monte Carlo, Option Pricing, Break-Even Analysis, NISQ, Variance Reduction</w:t>
      </w:r>
    </w:p>
    <w:p>
      <w:pPr>
        <w:pBdr>
          <w:bottom w:val="single" w:color="AAAAAA" w:sz="2" w:space="1"/>
        </w:pBdr>
        <w:spacing w:after="60" w:before="60"/>
      </w:pPr>
    </w:p>
    <w:p>
      <w:r>
        <w:rPr>
          <w:sz w:val="24"/>
          <w:szCs w:val="24"/>
        </w:rP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INTRODUCTION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pricing of financial derivatives via Monte Carlo simulation is a canonical computational finance problem. A European call option's fair value is the discounted expected payoff under the risk-neutral measure, and the standard MC estimator converges at O(1/√N) — a well-known limitation when high precision is required. Quantum Amplitude Estimation (QAE), as formulated by Brassard et al. [1] and applied to option pricing by Woerner and Egger [2] and Stamatopoulos et al. [3], achieves O(1/M) in the number of oracle queries M, yielding a theoretical quadratic speedup.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canonical break-even crossover — the point at which QAE requires fewer resources than MC to achieve a given precision ε — is derived in [3] as M_crossover ≈ 1.604√N, yielding a ≈120× query reduction at ε = 0.01. This result has become the standard justification for quantum finance research.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However, the comparison is made against naive MC — an estimator no practitioner deploys. Financial engineers routinely apply variance reduction techniques that substantially improve MC convergence: antithetic variates, control variates using the Black-Scholes closed form, and quasi-Monte Carlo (QMC) methods using low-discrepancy sequences [4][5]. These techniques are standard in production option pricing libraries and are taught in every quantitative finance curriculum. The QAE literature's failure to account for them constitutes a systematic overestimate of quantum advantage.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paper makes three contributions. First, we re-derive the break-even frontier under variance-reduced baselines, showing that constant-VRF methods (antithetic, control variate) shift the crossover by a factor of √VRF. Second, we demonstrate empirically that Randomized QMC (RQMC) achieves O(1/N) convergence on the European call benchmark — the same asymptotic rate QAE claims — rendering the asymptotic advantage moot for this payoff class. Third, we characterize the dimensional boundary of RQMC's advantage, identifying d ≈ 16–32 monitoring dates as the crossover beyond which classical RQMC loses its quantum-parity edge.</w:t>
      </w:r>
    </w:p>
    <w:p>
      <w:pPr>
        <w:spacing w:after="20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Taken together, these results sharpen the conditions under which quantum advantage in option pricing is genuine: it is confined to high-dimensional, path-dependent payoffs, not the European call benchmark on which most QAE claims are based.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BACKGROUND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A. Quantum Amplitude Estimation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QAE estimates the expectation value of a payoff function encoded as a quantum amplitude. The Iterative Amplitude Estimation (IQAE) variant [6] achieves a target error ε using M oracle queries, where: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|ã − a| ≤ π/M + π²/M²  =  O(M⁻¹)   ...(1)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a target precision ε, the required oracle queries are M = π/ε. In practice, the IQAE circuit for a European call option with n=3 uncertainty qubits expands from 2 high-level gates to 73 native gates after transpilation to a real backend's native gate set — a depth overhead, dominated by the state-preparation routine [9], that is independent of the noise level p (oracle query depth is noise-invariant, as we established in companion work [7]).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B. The Standard Break-Even Derivation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Naive Monte Carlo achieves error ε_MC = 1.96/√N at 95% confidence. Setting ε_MC = ε gives N = (1.96/ε)² required samples. The oracle crossover where M &lt; N (QAE cheaper) occurs at: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M_crossover = π√N / 1.96 ≈ 1.604√N   ...(2)</w:t>
      </w:r>
    </w:p>
    <w:p>
      <w:pPr>
        <w:spacing w:after="20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 ε = 0.01: naive MC needs N ≈ 38,416 samples; QAE needs M ≈ 314 oracle queries — a ≈120× reduction. This is the standard quantum advantage claim [3]. Crucially, it assumes the comparison baseline is naive MC.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III. RE-DERIVING THE BREAK-EVEN UNDER VARIANCE REDUCTION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A. Constant-VRF Methods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variance reduction technique with factor VRF reduces the MC estimator variance by VRF at equal sample count N. The effective error becomes: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ε_reduced = 1.96/√(VRF · N) = (1.96/√VRF) · (1/√N)   ...(3)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achieve target precision ε, variance-reduced MC needs N_reduced = N_naive/VRF samples. The break-even oracle count therefore becomes: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M_crossover(VRF) = π√(N_naive/VRF) / 1.96 = M_naive / √VRF   ...(4)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crossover threshold drops by √VRF. This means QAE must achieve a √VRF-times lower query count to claim the same relative advantage. For our empirically measured values: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00"/>
        <w:gridCol w:w="20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VRF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M_crossover at ε=0.01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Hardness for QAE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Naive MC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1.0×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314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1.0× (baseline)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Antithetic Variates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2.0×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222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1.41× harder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Control Variate (BS)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6.8×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2.61× harder</w:t>
            </w:r>
          </w:p>
        </w:tc>
      </w:tr>
    </w:tbl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I: Break-even oracle queries under variance-reduced baselines.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B. The RQMC Case: Scaling Parity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RQMC with scrambled Sobol sequences does not merely reduce the variance constant — it changes the convergence exponent. For smooth, low-dimensional integrands, RQMC achieves error O(N⁻¹) rather than O(N⁻¹ⁿ²) [8]. Setting the RQMC error equal to the QAE error: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C_RQMC / N = π / M   ⇒   M = (π/C_RQMC) · N   ...(5)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crossover now scales linearly in N rather than as √N. QAE's asymptotic advantage — the entire basis of the O(1/M) vs O(1/√N) comparison — disappears. Both algorithms operate in the same complexity class; only the constants and per-query hardware overhead determine which is cheaper in practice.</w:t>
      </w:r>
    </w:p>
    <w:p>
      <w:pPr>
        <w:spacing w:after="20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This is the central claim of this paper: for the European call benchmark, RQMC achieves the same asymptotic scaling that QAE claims as its quantum advantage. The quantum speedup is not suppressed — it is absent for this payoff class.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IV. EMPIRICAL RESULTS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A. Variance Reduction Factors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implemented all four estimators for the standard European call benchmark (S₀=100, K=100, r=0.05, σ=0.2, T=1.0) and measured the variance reduction factor at N=100,000 samples against the Black-Scholes analytical price (10.4506):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Std Err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Variance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VRF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Naive MC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10.4916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0.04666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2.18×10²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Antithetic MC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10.4673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0.03308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1.09×10²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1.99×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Control Variate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10.4668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0.01788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3.20×10¹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6.81×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RQMC (30 replications)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10.4506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0.000016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2.71×10⁻⁵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8.0×10⁶×*</w:t>
            </w:r>
          </w:p>
        </w:tc>
      </w:tr>
    </w:tbl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II: Variance reduction comparison at N=100,000. *RQMC VRF reflects 30 replications × 131,072 paths; see Section IV-B for equal-budget analysis.</w:t>
      </w:r>
    </w:p>
    <w:p>
      <w:r>
        <w:rPr>
          <w:sz w:val="24"/>
          <w:szCs w:val="24"/>
        </w:rPr>
        <w:t xml:space="preserve"/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B. Convergence Slope Analysis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compare methods on an equal computational budget, we fit empirical convergence slopes via log-log regression over N ∈ [256, 131072], averaging over 10 independent trials at each N. Results (see Fig. 1):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50"/>
        <w:gridCol w:w="175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Empirical Slope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Theoretical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Naive MC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−0.53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O(N⁻¹ⁿ²)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Antithetic MC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−0.52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O(N⁻¹ⁿ²)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Control Variate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−0.53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O(N⁻¹ⁿ²)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RQMC (Sobol)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−1.04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O(N⁻¹) target</w:t>
            </w:r>
          </w:p>
        </w:tc>
      </w:tr>
    </w:tbl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III: Empirical convergence slopes. RQMC achieves slope −1.04, matching QAE's theoretical O(1/N) asymptotic rate.</w:t>
      </w:r>
    </w:p>
    <w:p>
      <w:r>
        <w:rPr>
          <w:sz w:val="24"/>
          <w:szCs w:val="24"/>
        </w:rPr>
        <w:t xml:space="preserve"/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convergence figure (Fig. 1) shows naive MC, antithetic, and control variate all tracking the O(N⁻¹ⁿ²) reference line with different vertical offsets but identical slopes (−0.52 to −0.53). RQMC separates sharply from the classical pack, achieving slope −1.04 — indistinguishable from the O(1/N) reference. By N=65,536, RQMC is approximately 100× more accurate than the best classical method at equal sample budget.</w:t>
      </w:r>
    </w:p>
    <w:p>
      <w:pPr>
        <w:spacing w:after="200" w:before="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drawing>
          <wp:inline distT="0" distB="0" distL="0" distR="0">
            <wp:extent cx="5486400" cy="3928262"/>
            <wp:effectExtent l="0" t="0" r="0" b="0"/>
            <wp:docPr id="101" name="fig_mc_converg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_mc_convergenc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C. Dimensional Boundary of RQMC's Advantage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RQMC's O(1/N) convergence is a property of smooth, low-dimensional integrands. To identify the dimensional regime where this advantage holds, we price geometric-average Asian options across d ∈ {1,2,4,8,16,32,64} monitoring dates, using the closed-form geometric Asian price as a zero-noise-floor reference. The fitted convergence slopes (Fig. 2) show: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24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Naive MC Slope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Antithetic Slope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RQMC Slope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−0.45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−0.56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−1.14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−0.57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−0.33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−0.88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−0.45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−0.43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−1.02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−0.57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−0.40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−0.87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−0.57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−0.31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−0.72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−0.71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−0.46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−0.89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−0.70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−0.64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−0.65</w:t>
            </w:r>
          </w:p>
        </w:tc>
      </w:tr>
    </w:tbl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IV: Convergence slopes by problem dimension d. RQMC decays from −1.14 at d=1 toward −0.65 at d=64.</w:t>
      </w:r>
    </w:p>
    <w:p>
      <w:r>
        <w:rPr>
          <w:sz w:val="24"/>
          <w:szCs w:val="24"/>
        </w:rPr>
        <w:t xml:space="preserve"/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decay is monotonic in trend: RQMC's slope starts at −1.14 (super-classical) at d=1 and degrades toward −0.65 at d=64, where it is statistically indistinguishable from naive MC (−0.70). The d=1 slope here (−1.14, geometric Asian benchmark) is consistent with the −1.04 measured on the European call in Section IV-B; the two differ within finite-trial variance and both confirm O(1/N) scaling. The quantum-parity regime ends approximately at d=16–32. The d=32 anomaly (−0.89) reflects finite-trial variance (5 trials, 20 replications) rather than a genuine reversal.</w:t>
      </w:r>
    </w:p>
    <w:p>
      <w:pPr>
        <w:spacing w:after="200" w:before="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drawing>
          <wp:inline distT="0" distB="0" distL="0" distR="0">
            <wp:extent cx="5486400" cy="3253435"/>
            <wp:effectExtent l="0" t="0" r="0" b="0"/>
            <wp:docPr id="102" name="fig_rqmc_dimension_dec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_rqmc_dimension_decay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V. BREAK-EVEN FRONTIER UNDER FAIR BASELINES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Fig. 3 visualizes the break-even shift analytically. The left panel shows the required QAE oracle queries to beat each variance-reduced baseline at equal target precision ε. All three O(1/√N) methods produce parallel lines on log-log axes, displaced downward by √VRF. At ε=0.01, QAE must achieve M &lt; 314 (vs naive MC), M &lt; 222 (vs antithetic), or M &lt; 120 (vs control variate).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right panel shows the qualitative change introduced by RQMC. Against naive MC, the required QAE queries grow as M ∝ √N — QAE wins asymptotically. Against RQMC, the required queries grow as M ∝ N, sitting exactly on the M=N diagonal — QAE has no asymptotic advantage. The quantum speedup argument rests entirely on which baseline is chosen.</w:t>
      </w:r>
    </w:p>
    <w:p>
      <w:pPr>
        <w:spacing w:after="200" w:before="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drawing>
          <wp:inline distT="0" distB="0" distL="0" distR="0">
            <wp:extent cx="5486400" cy="2315260"/>
            <wp:effectExtent l="0" t="0" r="0" b="0"/>
            <wp:docPr id="103" name="fig_break_even_shi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_break_even_shif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VI. DISCUSSION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A. Implications for the QAE Finance Literature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QAE option pricing literature, from Woerner and Egger [2] to Stamatopoulos et al. [3] and subsequent work, compares quantum algorithms against naive Monte Carlo. This is a standard benchmarking approach in algorithm design but is systematically misleading in the finance context, where variance reduction is a decades-old, computationally free (or nearly free) improvement. Our results show that including the appropriate classical baseline reduces the quantum advantage by a factor of √VRF at minimum, and eliminates it asymptotically for the 1D European call payoff.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does not invalidate QAE research. It clarifies where genuine quantum advantage may survive: in high-dimensional path-dependent payoffs (d &gt; 32 monitoring dates), in non-smooth payoffs where RQMC's smoothness assumption breaks down, and in error-corrected fault-tolerant settings where NISQ gate overheads no longer apply. These are harder, more realistic targets than European calls — and they are the right ones to pursue.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B. Limitations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Several limitations should be noted. First, our RQMC O(1/N) result holds for the geometric Asian option with a closed-form reference; the arithmetic Asian payoff (non-smooth maximum function) may converge more slowly. Second, the dimensional crossover at d≈16–32 is an empirical estimate with finite-trial variance; a larger study with more replications would tighten this bound. Third, our QAE results use IQAE on a simulated 3-qubit circuit; real hardware runs with backend-specific noise models [7] would strengthen the comparison. These limitations are addressed in companion papers.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C. The Honest Quantum Advantage Region</w:t>
      </w:r>
    </w:p>
    <w:p>
      <w:pPr>
        <w:spacing w:after="20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Our dimension-decay analysis identifies a concrete regime where QAE's advantage may be real: d ≥ 32, where RQMC's slope has degraded to −0.65 and the curse of dimensionality has erased its quantum-parity edge. This is the regime of high-dimensional basket options, long-horizon path-dependent derivatives, and multi-asset correlation structures. A rigorous comparison of QAE against RQMC in this regime — on both simulated and real quantum hardware — is the natural next step and is left for future work.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VII. CONCLUSION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have shown that the quantum advantage of QAE over Monte Carlo in European option pricing is an artifact of benchmarking against a weak classical baseline. When compared against variance-reduced MC — the estimator practitioners actually deploy — the break-even crossover shifts by √VRF for constant-factor methods, and collapses to a constant-factor race for RQMC, which achieves the same O(1/N) asymptotic scaling as QAE on the 1D benchmark. The advantage survives only above d ≈ 16–32 monitoring dates, where RQMC's low-discrepancy properties deteriorate.</w:t>
      </w:r>
    </w:p>
    <w:p>
      <w:pPr>
        <w:spacing w:after="20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These findings do not dismiss quantum computing for finance. They calibrate its ambitions. The European call is the wrong benchmark for claiming quantum supremacy. The right benchmarks are high-dimensional, path-dependent payoffs where classical variance reduction hits its limits — and that is where the next generation of QAE finance research should focus.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REFERENCES</w:t>
      </w:r>
    </w:p>
    <w:p>
      <w:pPr>
        <w:spacing w:after="80" w:before="0"/>
        <w:ind w:left="360" w:hanging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[1] G. Brassard, P. Hoyer, M. Mosca, and A. Tapp, "Quantum amplitude amplification and estimation," AMS Contemporary Mathematics, vol. 305, pp. 53–74, 2002.</w:t>
      </w:r>
    </w:p>
    <w:p>
      <w:pPr>
        <w:spacing w:after="80" w:before="0"/>
        <w:ind w:left="360" w:hanging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[2] S. Woerner and D. J. Egger, "Quantum risk analysis," npj Quantum Information, vol. 5, no. 1, p. 15, 2019. [arXiv:1806.06893]</w:t>
      </w:r>
    </w:p>
    <w:p>
      <w:pPr>
        <w:spacing w:after="80" w:before="0"/>
        <w:ind w:left="360" w:hanging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[3] N. Stamatopoulos, D. J. Egger, Y. Sun, C. Zoufal, R. Iten, N. Shen, and S. Woerner, "Option pricing using quantum computers," Quantum, vol. 4, p. 291, 2020. [arXiv:1905.02666]</w:t>
      </w:r>
    </w:p>
    <w:p>
      <w:pPr>
        <w:spacing w:after="80" w:before="0"/>
        <w:ind w:left="360" w:hanging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[4] P. Glasserman, Monte Carlo Methods in Financial Engineering. New York: Springer, 2003.</w:t>
      </w:r>
    </w:p>
    <w:p>
      <w:pPr>
        <w:spacing w:after="80" w:before="0"/>
        <w:ind w:left="360" w:hanging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[5] R. E. Caflisch, "Monte Carlo and quasi-Monte Carlo methods," Acta Numerica, vol. 7, pp. 1–49, 1998.</w:t>
      </w:r>
    </w:p>
    <w:p>
      <w:pPr>
        <w:spacing w:after="80" w:before="0"/>
        <w:ind w:left="360" w:hanging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[6] D. Grinko, J. Gacon, C. Zoufal, and S. Woerner, "Iterative quantum amplitude estimation," npj Quantum Information, vol. 7, no. 1, p. 52, 2021. [arXiv:1912.05559]</w:t>
      </w:r>
    </w:p>
    <w:p>
      <w:pPr>
        <w:spacing w:after="80" w:before="0"/>
        <w:ind w:left="360" w:hanging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[7] P. Raghu, "NISQ Noise Shifts the Quantum Amplitude Estimation Break-Even for Option Pricing," 2026.</w:t>
      </w:r>
    </w:p>
    <w:p>
      <w:pPr>
        <w:spacing w:after="80" w:before="0"/>
        <w:ind w:left="360" w:hanging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[8] A. B. Owen, "Scrambled net variance for integrals of smooth periodic functions," The Annals of Statistics, vol. 25, no. 4, pp. 1541–1562, 1997.</w:t>
      </w:r>
    </w:p>
    <w:p>
      <w:pPr>
        <w:spacing w:after="80" w:before="0"/>
        <w:ind w:left="360" w:hanging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[9] A. Carrera Vazquez and S. Woerner, "Efficient state preparation for quantum amplitude estimation," Physical Review Applied, vol. 15, no. 3, p. 034027, 2021. [arXiv:2009.05756]</w:t>
      </w:r>
    </w:p>
    <w:sectPr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20" Type="http://schemas.openxmlformats.org/officeDocument/2006/relationships/image" Target="media/fig_mc_convergence.png"/><Relationship Id="rId21" Type="http://schemas.openxmlformats.org/officeDocument/2006/relationships/image" Target="media/fig_rqmc_dimension_decay.png"/><Relationship Id="rId22" Type="http://schemas.openxmlformats.org/officeDocument/2006/relationships/image" Target="media/fig_break_even_shift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2026-06-09T08:50:48.641Z</dcterms:created>
  <dcterms:modified xsi:type="dcterms:W3CDTF">2026-06-09T08:50:48.641Z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