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35e05f0ce51f2e455e3fb001d3e9c5e665c1ff"/>
    <w:p>
      <w:pPr>
        <w:pStyle w:val="Heading1"/>
      </w:pPr>
      <w:r>
        <w:t xml:space="preserve">Candidate Dimensions for the Agentic AI Governance Synthesis</w:t>
      </w:r>
    </w:p>
    <w:bookmarkStart w:id="9" w:name="abstract"/>
    <w:p>
      <w:pPr>
        <w:pStyle w:val="Heading2"/>
      </w:pPr>
      <w:r>
        <w:t xml:space="preserve">Abstract</w:t>
      </w:r>
    </w:p>
    <w:p>
      <w:pPr>
        <w:pStyle w:val="FirstParagraph"/>
      </w:pPr>
      <w:r>
        <w:t xml:space="preserve">Traditional IT governance, the Weill and Ross (2004) lineage of decision rights and accountability, assumes a human decides at each step, systems hold steady between releases, logic stays traceable, and the population of systems is a known registry. Agentic AI breaks all four. Following Sheth’s (2011) method, this note organizes the synthesis around dimensions that mark where a baseline assumption fails, held distinct from the governance responses they force. Four dimensions define the new context: delegated discretion, non-stationarity, inscrutability, and multiplicity, the last being the agentic increment beyond the single-artifact AI Berente et al. (2021) described. Speed runs across all four as an intensifier rather than a fifth property. These properties drive six governance shifts, from human-in-the-loop approval toward guided delegation, deterministic audit toward probabilistic assurance, and assigned ownership toward distributed liability. The four dimensions are proposed as candidates for the synthesis frame.</w:t>
      </w:r>
    </w:p>
    <w:bookmarkEnd w:id="9"/>
    <w:bookmarkStart w:id="10" w:name="purpose-and-scope"/>
    <w:p>
      <w:pPr>
        <w:pStyle w:val="Heading2"/>
      </w:pPr>
      <w:r>
        <w:t xml:space="preserve">Purpose and scope</w:t>
      </w:r>
    </w:p>
    <w:p>
      <w:pPr>
        <w:pStyle w:val="FirstParagraph"/>
      </w:pPr>
      <w:r>
        <w:t xml:space="preserve">This note sets out a candidate dimensional framework for a systematic review of how organizations govern agentic AI. Its job is narrow: to fix the constructs the review will code against before any coding begins. It names the properties on which agentic AI is a different context for governance, and it holds those properties distinct from the governance responses they force.</w:t>
      </w:r>
    </w:p>
    <w:p>
      <w:pPr>
        <w:pStyle w:val="BodyText"/>
      </w:pPr>
      <w:r>
        <w:t xml:space="preserve">The problem it addresses is a transfer failure. Traditional IT governance in the Weill and Ross (2004) lineage of decision rights and accountability was written for systems that a human approves at each step, that hold steady between versioned releases, whose logic stays traceable, and whose population is a known registry. Agentic AI, meaning autonomous and goal-directed systems that plan and execute tasks with limited human oversight (Kolt 2025), satisfies none of those assumptions. The systems act on their own discretion, learn and drift between releases, resist tracing, and multiply beyond any static inventory. Governance guidance built on the older assumptions does not carry over unchanged.</w:t>
      </w:r>
    </w:p>
    <w:p>
      <w:pPr>
        <w:pStyle w:val="BodyText"/>
      </w:pPr>
      <w:r>
        <w:t xml:space="preserve">The method follows Sheth (2011). Sheth’s study of emerging markets builds a framework from two artifacts held apart: a set of dimensions on which a new context is structurally different, and a table of</w:t>
      </w:r>
      <w:r>
        <w:t xml:space="preserve"> </w:t>
      </w:r>
      <w:r>
        <w:t xml:space="preserve">“From X to Y”</w:t>
      </w:r>
      <w:r>
        <w:t xml:space="preserve"> </w:t>
      </w:r>
      <w:r>
        <w:t xml:space="preserve">shifts those dimensions force across a discipline. The dimensions are properties of the context; the shifts are responses. Keeping them on separate axes is the discipline this note borrows, because collapsing a property into its response blurs what the framework is meant to isolate.</w:t>
      </w:r>
    </w:p>
    <w:bookmarkEnd w:id="10"/>
    <w:bookmarkStart w:id="11" w:name="X4fed53ac0eb69217c6dbdbb7a1b0bf95d64cb6e"/>
    <w:p>
      <w:pPr>
        <w:pStyle w:val="Heading2"/>
      </w:pPr>
      <w:r>
        <w:t xml:space="preserve">Framing: dimensions as the spine of the synthesis</w:t>
      </w:r>
    </w:p>
    <w:p>
      <w:pPr>
        <w:pStyle w:val="FirstParagraph"/>
      </w:pPr>
      <w:r>
        <w:t xml:space="preserve">Sheth’s (2011) study of emerging markets is the model for this framework. Sheth does not argue that marketing theory is wrong. He argues it was built for one context, industrialized markets, and that a new context now demands new constructs. His move is to name a small set of dimensions on which the new context is structurally different, then let those dimensions drive a table of</w:t>
      </w:r>
      <w:r>
        <w:t xml:space="preserve"> </w:t>
      </w:r>
      <w:r>
        <w:t xml:space="preserve">“From X to Y”</w:t>
      </w:r>
      <w:r>
        <w:t xml:space="preserve"> </w:t>
      </w:r>
      <w:r>
        <w:t xml:space="preserve">shifts across the discipline (Sheth 2011). The dimensions are the spine. The shifts are what they force.</w:t>
      </w:r>
    </w:p>
    <w:p>
      <w:pPr>
        <w:pStyle w:val="BodyText"/>
      </w:pPr>
      <w:r>
        <w:t xml:space="preserve">The same logic transfers cleanly. The baseline here is traditional IT governance, the Weill and Ross (2004) lineage of decision rights and accountability structures for systems, applications, and data. That tradition is a genuinely separate research stream from technology adoption: adoption asks whether organizations will use a technology, while governance asks how they structure oversight once they have, a distinction the governance-structures literature has held for two decades (Brown and Grant 2005; Weill and Ross 2004). The new context is agentic AI: autonomous, goal-directed systems that plan and execute tasks and exercise discretion with limited human oversight (Kolt 2025). Each dimension proposed below marks one place where a traditional IT-governance assumption stops holding under agentic AI. Each governance shift is the response that break forces.</w:t>
      </w:r>
    </w:p>
    <w:p>
      <w:pPr>
        <w:pStyle w:val="BodyText"/>
      </w:pPr>
      <w:r>
        <w:t xml:space="preserve">The two artifacts stay visibly distinct, because Sheth keeps them distinct and collapsing them would blur the contribution. The dimensions are properties of the context, his Figure 1. The shifts are responses in specific governance domains, his Table 1. A property is not a response. The computer-science prescriptions (Kolt 2025) and the management-side outcome evidence (Papagiannidis et al. 2025) talk past each other partly because neither pins down the properties before reaching for responses. This framing fixes the baseline, the new context, and Sheth’s method, and holds everything inside the dimensions-and-synthesis frame before naming a single dimension.</w:t>
      </w:r>
    </w:p>
    <w:bookmarkEnd w:id="11"/>
    <w:bookmarkStart w:id="17" w:name="X1a69c2f3dc7118ad338c31943f935e06228abad"/>
    <w:p>
      <w:pPr>
        <w:pStyle w:val="Heading2"/>
      </w:pPr>
      <w:r>
        <w:t xml:space="preserve">The four dimensions of agentic AI as a governance context</w:t>
      </w:r>
    </w:p>
    <w:p>
      <w:pPr>
        <w:pStyle w:val="FirstParagraph"/>
      </w:pPr>
      <w:r>
        <w:t xml:space="preserve">Four structural properties set agentic AI apart, as a governance context, from the systems traditional IT governance was written for. Each is stated as a property, not a response, and each is defined against a specific assumption that the Weill and Ross (2004) tradition takes for granted. The first three restate the facets Berente et al. (2021) named for AI in general. The fourth is the piece their account does not reach, and it is what makes agentic AI agentic.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 (dimension)</w:t>
            </w:r>
          </w:p>
        </w:tc>
        <w:tc>
          <w:tcPr/>
          <w:p>
            <w:pPr>
              <w:pStyle w:val="Compact"/>
            </w:pPr>
            <w:r>
              <w:t xml:space="preserve">The IT-governance assumption it breaks</w:t>
            </w:r>
          </w:p>
        </w:tc>
      </w:tr>
      <w:tr>
        <w:tc>
          <w:tcPr/>
          <w:p>
            <w:pPr>
              <w:pStyle w:val="Compact"/>
            </w:pPr>
            <w:r>
              <w:t xml:space="preserve">Delegated discretion (autonomy)</w:t>
            </w:r>
          </w:p>
        </w:tc>
        <w:tc>
          <w:tcPr/>
          <w:p>
            <w:pPr>
              <w:pStyle w:val="Compact"/>
            </w:pPr>
            <w:r>
              <w:t xml:space="preserve">A human decides at each consequential point</w:t>
            </w:r>
          </w:p>
        </w:tc>
      </w:tr>
      <w:tr>
        <w:tc>
          <w:tcPr/>
          <w:p>
            <w:pPr>
              <w:pStyle w:val="Compact"/>
            </w:pPr>
            <w:r>
              <w:t xml:space="preserve">Non-stationarity (learning)</w:t>
            </w:r>
          </w:p>
        </w:tc>
        <w:tc>
          <w:tcPr/>
          <w:p>
            <w:pPr>
              <w:pStyle w:val="Compact"/>
            </w:pPr>
            <w:r>
              <w:t xml:space="preserve">A system behaves the same until a versioned change</w:t>
            </w:r>
          </w:p>
        </w:tc>
      </w:tr>
      <w:tr>
        <w:tc>
          <w:tcPr/>
          <w:p>
            <w:pPr>
              <w:pStyle w:val="Compact"/>
            </w:pPr>
            <w:r>
              <w:t xml:space="preserve">Inscrutability</w:t>
            </w:r>
          </w:p>
        </w:tc>
        <w:tc>
          <w:tcPr/>
          <w:p>
            <w:pPr>
              <w:pStyle w:val="Compact"/>
            </w:pPr>
            <w:r>
              <w:t xml:space="preserve">System logic is traceable and auditable</w:t>
            </w:r>
          </w:p>
        </w:tc>
      </w:tr>
      <w:tr>
        <w:tc>
          <w:tcPr/>
          <w:p>
            <w:pPr>
              <w:pStyle w:val="Compact"/>
            </w:pPr>
            <w:r>
              <w:t xml:space="preserve">Multiplicity</w:t>
            </w:r>
          </w:p>
        </w:tc>
        <w:tc>
          <w:tcPr/>
          <w:p>
            <w:pPr>
              <w:pStyle w:val="Compact"/>
            </w:pPr>
            <w:r>
              <w:t xml:space="preserve">The population of systems is a finite, known registry behind a perimeter</w:t>
            </w:r>
          </w:p>
        </w:tc>
      </w:tr>
    </w:tbl>
    <w:p>
      <w:pPr>
        <w:pStyle w:val="BodyText"/>
      </w:pPr>
      <w:r>
        <w:t xml:space="preserve">Speed runs across all four rather than sitting as a fifth row. The reason follows below.</w:t>
      </w:r>
    </w:p>
    <w:bookmarkStart w:id="12" w:name="delegated-discretion-autonomy"/>
    <w:p>
      <w:pPr>
        <w:pStyle w:val="Heading3"/>
      </w:pPr>
      <w:r>
        <w:t xml:space="preserve">Delegated discretion (autonomy)</w:t>
      </w:r>
    </w:p>
    <w:p>
      <w:pPr>
        <w:pStyle w:val="FirstParagraph"/>
      </w:pPr>
      <w:r>
        <w:t xml:space="preserve">Traditional IT governance assumes a person stands at each consequential decision, approving or declining. Agentic AI removes that person from the loop for stretches of the task. Berente et al. (2021) put autonomy first among their facets: the capacity to act toward a goal without step-by-step human intervention. Kolt (2025) sharpens why this is not just faster automation. Instructions to an agent are inevitably incomplete, so the agent must exercise discretion to fill the gaps, which makes it closer to an autopilot than a copilot. Jarrahi and Ritala (2025) describe the managed version of this as guided autonomy: delegation inside defined boundaries that widen as an agent demonstrates reliability. The property is discretion under incomplete instruction. That is a different object of oversight than a tool that does exactly and only what it is told.</w:t>
      </w:r>
    </w:p>
    <w:bookmarkEnd w:id="12"/>
    <w:bookmarkStart w:id="13" w:name="non-stationarity-learning"/>
    <w:p>
      <w:pPr>
        <w:pStyle w:val="Heading3"/>
      </w:pPr>
      <w:r>
        <w:t xml:space="preserve">Non-stationarity (learning)</w:t>
      </w:r>
    </w:p>
    <w:p>
      <w:pPr>
        <w:pStyle w:val="FirstParagraph"/>
      </w:pPr>
      <w:r>
        <w:t xml:space="preserve">Traditional IT governance assumes a system holds its behavior steady until someone ships a new version, so governance attaches to the release. Berente et al. (2021) name learning as their second facet: the system improves through data and experience, and its behavior drifts between releases rather than only at them. This breaks the assumption that a certified state stays certified. What passed review last quarter may act differently this quarter without any code change anyone signed off on. The governance object is no longer a fixed artifact approved once. It is a moving one that has to be watched. The label non-stationarity is preferable to learning because it names the governance problem, that the system does not sit still, rather than the mechanism.</w:t>
      </w:r>
    </w:p>
    <w:bookmarkEnd w:id="13"/>
    <w:bookmarkStart w:id="14" w:name="inscrutability"/>
    <w:p>
      <w:pPr>
        <w:pStyle w:val="Heading3"/>
      </w:pPr>
      <w:r>
        <w:t xml:space="preserve">Inscrutability</w:t>
      </w:r>
    </w:p>
    <w:p>
      <w:pPr>
        <w:pStyle w:val="FirstParagraph"/>
      </w:pPr>
      <w:r>
        <w:t xml:space="preserve">Traditional IT governance assumes that what a system did and why can be traced and audited. Berente et al. (2021) name inscrutability as the property of being unintelligible to a given audience, and they break it into opacity, transparency, explainability, and interpretability, which matters because the fix differs by audience. Kolt (2025) adds that an agent’s decisions can be technically opaque even to the people who built it. So the break is not only that a manager cannot follow the logic. It is that the logic may not be fully legible to anyone. Deterministic traceability, the backbone of conventional audit, is not available in the form governance is used to.</w:t>
      </w:r>
    </w:p>
    <w:bookmarkEnd w:id="14"/>
    <w:bookmarkStart w:id="15" w:name="multiplicity-the-agentic-increment"/>
    <w:p>
      <w:pPr>
        <w:pStyle w:val="Heading3"/>
      </w:pPr>
      <w:r>
        <w:t xml:space="preserve">Multiplicity (the agentic increment)</w:t>
      </w:r>
    </w:p>
    <w:p>
      <w:pPr>
        <w:pStyle w:val="FirstParagraph"/>
      </w:pPr>
      <w:r>
        <w:t xml:space="preserve">Here the framework parts from Berente et al. (2021). Their three facets describe a single AI artifact, and their own stated limitation is that the account does not address agentic AI specifically. Traditional IT governance assumes a finite, knowable registry of systems behind a perimeter under organizational control. Agentic AI violates that at two levels. Agents interact with other agents, and they spawn sub-agents. Jarrahi and Ritala (2025) point to Moderna’s roughly 3,000 tailored GPTs (p.9) and warn of too many agents holding too many tasks. Kolt (2025) describes sub-agent delegation, where one agent instantiates others to pursue parts of a goal, compounding the problem (pp.28-30). Two recent reviews put agentic-specific weight behind the property. Sapkota et al. (2025) define agentic AI by exactly this feature set: multi-agent collaboration, dynamic task decomposition, and coordinated autonomy, with coordination failure named as one of its characteristic risks. Abou Ali et al. (2025), reviewing 90 studies under PRISMA, reach the same territory from the other side: they sort agentic systems into a symbolic lineage and a neural one, and flag a governance-model deficit for both. The nearest field evidence is still Eulerich et al. (2024) on rule-based automation, where a Fortune 500 team reported 185 bots and added that these are just the robots we know (p.10). That is the empirical shape of shadow AI: a population growing faster than any registry tracks it. Multiplicity is the increment that makes agentic AI a distinct governance context rather than more of the same AI. Agentic-specific review evidence now supports it directly, though primary field study of governance inside deployed agentic systems remains scarce, a limit the closing section returns to.</w:t>
      </w:r>
    </w:p>
    <w:bookmarkEnd w:id="15"/>
    <w:bookmarkStart w:id="16" w:name="speed-as-an-intensifier-not-a-dimension"/>
    <w:p>
      <w:pPr>
        <w:pStyle w:val="Heading3"/>
      </w:pPr>
      <w:r>
        <w:t xml:space="preserve">Speed as an intensifier, not a dimension</w:t>
      </w:r>
    </w:p>
    <w:p>
      <w:pPr>
        <w:pStyle w:val="FirstParagraph"/>
      </w:pPr>
      <w:r>
        <w:t xml:space="preserve">Speed is best treated as an intensifier rather than a fifth dimension. Kolt (2025) notes that agents act at superhuman speed, which is what turns each of the four properties from a manageable strain into a hard one (pp.33-36). Discretion is tolerable if a human can catch a bad call before it lands. Drift is tolerable if review comes before it propagates. At agent speed the window to intervene closes. Speed does not break a new assumption of its own. It removes the slack that made the other four survivable, which is why it runs through the prose rather than occupying a row of its own. Whether speed instead warrants promotion to a fifth dimension is one of the open questions the frame raises.</w:t>
      </w:r>
    </w:p>
    <w:p>
      <w:pPr>
        <w:pStyle w:val="BodyText"/>
      </w:pPr>
      <w:r>
        <w:t xml:space="preserve">The four properties also map onto the structural, procedural, and relational practice types Papagiannidis et al. (2025) draw from IT-governance theory, which lets them seed a coding scheme for the review. Discretion and multiplicity press on structural arrangements, non-stationarity on procedural ones, inscrutability on relational and assurance work.</w:t>
      </w:r>
    </w:p>
    <w:bookmarkEnd w:id="16"/>
    <w:bookmarkEnd w:id="17"/>
    <w:bookmarkStart w:id="18" w:name="Xd29d87df90f056a113f1858734a33d0e203b249"/>
    <w:p>
      <w:pPr>
        <w:pStyle w:val="Heading2"/>
      </w:pPr>
      <w:r>
        <w:t xml:space="preserve">From traditional IT governance to agentic AI governance: six shifts</w:t>
      </w:r>
    </w:p>
    <w:p>
      <w:pPr>
        <w:pStyle w:val="FirstParagraph"/>
      </w:pPr>
      <w:r>
        <w:t xml:space="preserve">If the four dimensions are the properties of the new context, the second artifact is the set of governance responses they force. This is the Table 1 equivalent in Sheth’s method: a matrix of governance domains, each rewritten as a</w:t>
      </w:r>
      <w:r>
        <w:t xml:space="preserve"> </w:t>
      </w:r>
      <w:r>
        <w:t xml:space="preserve">“From X to Y”</w:t>
      </w:r>
      <w:r>
        <w:t xml:space="preserve"> </w:t>
      </w:r>
      <w:r>
        <w:t xml:space="preserve">shift, with the dimension that drives the shift named alongside it. The two artifacts stay on separate axes by design. The dimensions say what changed about the technology; the table says what has to change about how it is governed.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Governance domain</w:t>
            </w:r>
          </w:p>
        </w:tc>
        <w:tc>
          <w:tcPr/>
          <w:p>
            <w:pPr>
              <w:pStyle w:val="Compact"/>
            </w:pPr>
            <w:r>
              <w:t xml:space="preserve">From (traditional IT governance)</w:t>
            </w:r>
          </w:p>
        </w:tc>
        <w:tc>
          <w:tcPr/>
          <w:p>
            <w:pPr>
              <w:pStyle w:val="Compact"/>
            </w:pPr>
            <w:r>
              <w:t xml:space="preserve">To (agentic AI governance)</w:t>
            </w:r>
          </w:p>
        </w:tc>
        <w:tc>
          <w:tcPr/>
          <w:p>
            <w:pPr>
              <w:pStyle w:val="Compact"/>
            </w:pPr>
            <w:r>
              <w:t xml:space="preserve">Driven by</w:t>
            </w:r>
          </w:p>
        </w:tc>
      </w:tr>
      <w:tr>
        <w:tc>
          <w:tcPr/>
          <w:p>
            <w:pPr>
              <w:pStyle w:val="Compact"/>
            </w:pPr>
            <w:r>
              <w:t xml:space="preserve">Oversight model</w:t>
            </w:r>
          </w:p>
        </w:tc>
        <w:tc>
          <w:tcPr/>
          <w:p>
            <w:pPr>
              <w:pStyle w:val="Compact"/>
            </w:pPr>
            <w:r>
              <w:t xml:space="preserve">Human-in-the-loop approval at each consequential step</w:t>
            </w:r>
          </w:p>
        </w:tc>
        <w:tc>
          <w:tcPr/>
          <w:p>
            <w:pPr>
              <w:pStyle w:val="Compact"/>
            </w:pPr>
            <w:r>
              <w:t xml:space="preserve">Bounded, guided delegation with expanding trust</w:t>
            </w:r>
          </w:p>
        </w:tc>
        <w:tc>
          <w:tcPr/>
          <w:p>
            <w:pPr>
              <w:pStyle w:val="Compact"/>
            </w:pPr>
            <w:r>
              <w:t xml:space="preserve">Delegated discretion, speed</w:t>
            </w:r>
          </w:p>
        </w:tc>
      </w:tr>
      <w:tr>
        <w:tc>
          <w:tcPr/>
          <w:p>
            <w:pPr>
              <w:pStyle w:val="Compact"/>
            </w:pPr>
            <w:r>
              <w:t xml:space="preserve">Assurance and audit</w:t>
            </w:r>
          </w:p>
        </w:tc>
        <w:tc>
          <w:tcPr/>
          <w:p>
            <w:pPr>
              <w:pStyle w:val="Compact"/>
            </w:pPr>
            <w:r>
              <w:t xml:space="preserve">Deterministic traceability of logic</w:t>
            </w:r>
          </w:p>
        </w:tc>
        <w:tc>
          <w:tcPr/>
          <w:p>
            <w:pPr>
              <w:pStyle w:val="Compact"/>
            </w:pPr>
            <w:r>
              <w:t xml:space="preserve">Probabilistic assurance plus explainability</w:t>
            </w:r>
          </w:p>
        </w:tc>
        <w:tc>
          <w:tcPr/>
          <w:p>
            <w:pPr>
              <w:pStyle w:val="Compact"/>
            </w:pPr>
            <w:r>
              <w:t xml:space="preserve">Inscrutability</w:t>
            </w:r>
          </w:p>
        </w:tc>
      </w:tr>
      <w:tr>
        <w:tc>
          <w:tcPr/>
          <w:p>
            <w:pPr>
              <w:pStyle w:val="Compact"/>
            </w:pPr>
            <w:r>
              <w:t xml:space="preserve">Visibility and inventory</w:t>
            </w:r>
          </w:p>
        </w:tc>
        <w:tc>
          <w:tcPr/>
          <w:p>
            <w:pPr>
              <w:pStyle w:val="Compact"/>
            </w:pPr>
            <w:r>
              <w:t xml:space="preserve">System registry behind a perimeter</w:t>
            </w:r>
          </w:p>
        </w:tc>
        <w:tc>
          <w:tcPr/>
          <w:p>
            <w:pPr>
              <w:pStyle w:val="Compact"/>
            </w:pPr>
            <w:r>
              <w:t xml:space="preserve">Continuous discovery of active agents</w:t>
            </w:r>
          </w:p>
        </w:tc>
        <w:tc>
          <w:tcPr/>
          <w:p>
            <w:pPr>
              <w:pStyle w:val="Compact"/>
            </w:pPr>
            <w:r>
              <w:t xml:space="preserve">Multiplicity</w:t>
            </w:r>
          </w:p>
        </w:tc>
      </w:tr>
      <w:tr>
        <w:tc>
          <w:tcPr/>
          <w:p>
            <w:pPr>
              <w:pStyle w:val="Compact"/>
            </w:pPr>
            <w:r>
              <w:t xml:space="preserve">Control philosophy</w:t>
            </w:r>
          </w:p>
        </w:tc>
        <w:tc>
          <w:tcPr/>
          <w:p>
            <w:pPr>
              <w:pStyle w:val="Compact"/>
            </w:pPr>
            <w:r>
              <w:t xml:space="preserve">Maximize control</w:t>
            </w:r>
          </w:p>
        </w:tc>
        <w:tc>
          <w:tcPr/>
          <w:p>
            <w:pPr>
              <w:pStyle w:val="Compact"/>
            </w:pPr>
            <w:r>
              <w:t xml:space="preserve">Calibrate control toward an optimal middle</w:t>
            </w:r>
          </w:p>
        </w:tc>
        <w:tc>
          <w:tcPr/>
          <w:p>
            <w:pPr>
              <w:pStyle w:val="Compact"/>
            </w:pPr>
            <w:r>
              <w:t xml:space="preserve">Delegated discretion, multiplicity</w:t>
            </w:r>
          </w:p>
        </w:tc>
      </w:tr>
      <w:tr>
        <w:tc>
          <w:tcPr/>
          <w:p>
            <w:pPr>
              <w:pStyle w:val="Compact"/>
            </w:pPr>
            <w:r>
              <w:t xml:space="preserve">Change management</w:t>
            </w:r>
          </w:p>
        </w:tc>
        <w:tc>
          <w:tcPr/>
          <w:p>
            <w:pPr>
              <w:pStyle w:val="Compact"/>
            </w:pPr>
            <w:r>
              <w:t xml:space="preserve">Version-controlled releases</w:t>
            </w:r>
          </w:p>
        </w:tc>
        <w:tc>
          <w:tcPr/>
          <w:p>
            <w:pPr>
              <w:pStyle w:val="Compact"/>
            </w:pPr>
            <w:r>
              <w:t xml:space="preserve">Continuous monitoring for behavioral drift</w:t>
            </w:r>
          </w:p>
        </w:tc>
        <w:tc>
          <w:tcPr/>
          <w:p>
            <w:pPr>
              <w:pStyle w:val="Compact"/>
            </w:pPr>
            <w:r>
              <w:t xml:space="preserve">Non-stationarity</w:t>
            </w:r>
          </w:p>
        </w:tc>
      </w:tr>
      <w:tr>
        <w:tc>
          <w:tcPr/>
          <w:p>
            <w:pPr>
              <w:pStyle w:val="Compact"/>
            </w:pPr>
            <w:r>
              <w:t xml:space="preserve">Accountability</w:t>
            </w:r>
          </w:p>
        </w:tc>
        <w:tc>
          <w:tcPr/>
          <w:p>
            <w:pPr>
              <w:pStyle w:val="Compact"/>
            </w:pPr>
            <w:r>
              <w:t xml:space="preserve">An assigned human owner</w:t>
            </w:r>
          </w:p>
        </w:tc>
        <w:tc>
          <w:tcPr/>
          <w:p>
            <w:pPr>
              <w:pStyle w:val="Compact"/>
            </w:pPr>
            <w:r>
              <w:t xml:space="preserve">Distributed liability across developers, deployers, users</w:t>
            </w:r>
          </w:p>
        </w:tc>
        <w:tc>
          <w:tcPr/>
          <w:p>
            <w:pPr>
              <w:pStyle w:val="Compact"/>
            </w:pPr>
            <w:r>
              <w:t xml:space="preserve">Delegated discretion, multiplicity</w:t>
            </w:r>
          </w:p>
        </w:tc>
      </w:tr>
    </w:tbl>
    <w:p>
      <w:pPr>
        <w:pStyle w:val="BodyText"/>
      </w:pPr>
      <w:r>
        <w:t xml:space="preserve">Each row is worth walking back to its driver. The</w:t>
      </w:r>
      <w:r>
        <w:t xml:space="preserve"> </w:t>
      </w:r>
      <w:r>
        <w:rPr>
          <w:b/>
          <w:bCs/>
        </w:rPr>
        <w:t xml:space="preserve">oversight</w:t>
      </w:r>
      <w:r>
        <w:t xml:space="preserve"> </w:t>
      </w:r>
      <w:r>
        <w:t xml:space="preserve">shift follows directly from delegated discretion. Once an agent acts toward goals without step-by-step intervention, the human-in-the-loop gate stops being feasible at every decision. Jarrahi and Ritala (2025) offer the response in their guided autonomy principle: boundaries of delegation that are defined up front and</w:t>
      </w:r>
      <w:r>
        <w:t xml:space="preserve"> </w:t>
      </w:r>
      <w:r>
        <w:t xml:space="preserve">“can grow as agents expand their learning”</w:t>
      </w:r>
      <w:r>
        <w:t xml:space="preserve"> </w:t>
      </w:r>
      <w:r>
        <w:t xml:space="preserve">(p. 5). Speed sharpens this. Kolt (2025) argues that monitoring is undermined precisely because agents operate at speeds and scales beyond human oversight capacity (pp. 33-36), so the gate would fail even if it were kept.</w:t>
      </w:r>
    </w:p>
    <w:p>
      <w:pPr>
        <w:pStyle w:val="BodyText"/>
      </w:pPr>
      <w:r>
        <w:t xml:space="preserve">The</w:t>
      </w:r>
      <w:r>
        <w:t xml:space="preserve"> </w:t>
      </w:r>
      <w:r>
        <w:rPr>
          <w:b/>
          <w:bCs/>
        </w:rPr>
        <w:t xml:space="preserve">assurance</w:t>
      </w:r>
      <w:r>
        <w:t xml:space="preserve"> </w:t>
      </w:r>
      <w:r>
        <w:t xml:space="preserve">shift is driven by inscrutability alone. Traditional audit assumes traceable logic that can be reconstructed after the fact. Berente et al. (2021) break that assumption into four dimensions of inscrutability (opacity, transparency, explainability, interpretability, pp. 1441-1442), and Kolt (2025) notes that agent decisions are technically opaque even to their developers (p. 35). Deterministic traceability gives way to probabilistic assurance backed by explainability tooling.</w:t>
      </w:r>
    </w:p>
    <w:p>
      <w:pPr>
        <w:pStyle w:val="BodyText"/>
      </w:pPr>
      <w:r>
        <w:rPr>
          <w:b/>
          <w:bCs/>
        </w:rPr>
        <w:t xml:space="preserve">Visibility</w:t>
      </w:r>
      <w:r>
        <w:t xml:space="preserve"> </w:t>
      </w:r>
      <w:r>
        <w:t xml:space="preserve">is driven by multiplicity. A registry behind a perimeter presumes a finite, knowable population of systems. Eulerich et al. (2024) puncture that assumption with their dark-spots finding:</w:t>
      </w:r>
      <w:r>
        <w:t xml:space="preserve"> </w:t>
      </w:r>
      <w:r>
        <w:t xml:space="preserve">“Currently, we have collected 185 [bots]… These are just the robots we know”</w:t>
      </w:r>
      <w:r>
        <w:t xml:space="preserve"> </w:t>
      </w:r>
      <w:r>
        <w:t xml:space="preserve">(p. 10), where external auditors discovered bots the organization could not account for. The response is continuous discovery rather than a static inventory. Rinta-Kahila et al. (2021) show what losing that visibility can cost: their study of the Australian Robodebt automated debt-recovery program traces how a system running with inadequate oversight caused severe distress to citizens and welfare-agency staff, and argues for governance infrastructure that keeps automated decision-making visible and accountable.</w:t>
      </w:r>
    </w:p>
    <w:p>
      <w:pPr>
        <w:pStyle w:val="BodyText"/>
      </w:pPr>
      <w:r>
        <w:rPr>
          <w:b/>
          <w:bCs/>
        </w:rPr>
        <w:t xml:space="preserve">Change management</w:t>
      </w:r>
      <w:r>
        <w:t xml:space="preserve"> </w:t>
      </w:r>
      <w:r>
        <w:t xml:space="preserve">is driven by non-stationarity. When a system’s behavior is fixed between releases, version control suffices. Berente et al. (2021) show that a learning system</w:t>
      </w:r>
      <w:r>
        <w:t xml:space="preserve"> </w:t>
      </w:r>
      <w:r>
        <w:t xml:space="preserve">“feeds on data beyond organizational boundaries”</w:t>
      </w:r>
      <w:r>
        <w:t xml:space="preserve"> </w:t>
      </w:r>
      <w:r>
        <w:t xml:space="preserve">(p. 1440) and shifts behavior between releases, so the response moves from release gates to ongoing drift monitoring. Bayram and Ahmed (2024), surveying machine-learning operations practice, make the same point from the deployment side: once a system is operationalized it must evolve and operate continuously in real-world environments, which is why drift monitoring and the operations tooling around it, rather than a one-time certification, become the mechanism of control.</w:t>
      </w:r>
    </w:p>
    <w:p>
      <w:pPr>
        <w:pStyle w:val="BodyText"/>
      </w:pPr>
      <w:r>
        <w:t xml:space="preserve">The last two rows carry properties that belong here as responses, not as dimensions.</w:t>
      </w:r>
      <w:r>
        <w:t xml:space="preserve"> </w:t>
      </w:r>
      <w:r>
        <w:rPr>
          <w:b/>
          <w:bCs/>
        </w:rPr>
        <w:t xml:space="preserve">Control philosophy</w:t>
      </w:r>
      <w:r>
        <w:t xml:space="preserve"> </w:t>
      </w:r>
      <w:r>
        <w:t xml:space="preserve">is the calibration point. It sits in the table rather than the dimension list because it is a governance choice, not a property of the technology. It is driven by both discretion and multiplicity. Haase et al. (2024) give the first empirical anchor:</w:t>
      </w:r>
      <w:r>
        <w:t xml:space="preserve"> </w:t>
      </w:r>
      <w:r>
        <w:t xml:space="preserve">“higher degrees of automation yield better performance under normal conditions but worse performance during failures”</w:t>
      </w:r>
      <w:r>
        <w:t xml:space="preserve"> </w:t>
      </w:r>
      <w:r>
        <w:t xml:space="preserve">(p. 585), through complacency and skill degradation. Eulerich et al. (2024) give the organizational version, a tension where heavy governance kills motivation and missing governance creates risk (p. 12). Kathuria et al. (2026), in a field study of AI-based intelligent process automation bots at a Fortune 200 firm, give the most direct demonstration that maximal control is not optimal: centralized mandates, paired with the learning and adaptive capabilities of these systems, can actively suppress the reuse of deployed bots, while decentralizing production to business users succeeds only up to a point, past which the same decentralization fragments into one-off solutions. They read this as a challenge to the centralize-or-decentralize logic of the IT-governance canon itself. Together these three argue for calibrating control toward an optimal middle rather than maximizing it, and for treating that middle as bounded rather than fixed.</w:t>
      </w:r>
      <w:r>
        <w:t xml:space="preserve"> </w:t>
      </w:r>
      <w:r>
        <w:rPr>
          <w:b/>
          <w:bCs/>
        </w:rPr>
        <w:t xml:space="preserve">Accountability</w:t>
      </w:r>
      <w:r>
        <w:t xml:space="preserve"> </w:t>
      </w:r>
      <w:r>
        <w:t xml:space="preserve">sits here for the same reason. Kolt (2025) proposes allocating liability by each actor’s capacity to prevent and remedy harm rather than by degree of control, which would perversely reward developers who reduce oversight (pp. 44-46). Herath Pathirannehelage et al. (2024) reach a compatible conclusion from the design side: because AI systems learn, adapt, and act autonomously, prescriptive knowledge carried over from conventional decision support systems, built on fixed rules and human agentic primacy, does not transfer, and the shift in autonomy, responsibility, and accountability has to be designed for. With discretion and multiplicity in play, a single assigned owner no longer fits, and responsibility distributes across developers, deployers, and users. Rinta-Kahila et al. (2021) show what is at stake when that distribution fails: their study of the Robodebt case traces how a socially destructive program was initiated, sustained, and eventually delegitimized, which is their argument for building governance infrastructure into automated decision-making from the start.</w:t>
      </w:r>
    </w:p>
    <w:p>
      <w:pPr>
        <w:pStyle w:val="BodyText"/>
      </w:pPr>
      <w:r>
        <w:t xml:space="preserve">Read down the</w:t>
      </w:r>
      <w:r>
        <w:t xml:space="preserve"> </w:t>
      </w:r>
      <w:r>
        <w:t xml:space="preserve">“driven by”</w:t>
      </w:r>
      <w:r>
        <w:t xml:space="preserve"> </w:t>
      </w:r>
      <w:r>
        <w:t xml:space="preserve">column and the completeness test that Sheth builds in becomes visible. Every domain is forced by at least one dimension, and every dimension touches more than one domain. Delegated discretion drives oversight, control philosophy, and accountability. Multiplicity drives visibility, control philosophy, and accountability. Inscrutability drives assurance. Non-stationarity drives change management. Speed does not own a row; it runs across oversight and, through the monitoring problem, across assurance and control as well. The four dimensions collectively cover all six domains, which is the coverage claim the table is meant to demonstrate.</w:t>
      </w:r>
    </w:p>
    <w:bookmarkEnd w:id="18"/>
    <w:bookmarkStart w:id="19" w:name="open-questions-for-the-frame"/>
    <w:p>
      <w:pPr>
        <w:pStyle w:val="Heading2"/>
      </w:pPr>
      <w:r>
        <w:t xml:space="preserve">Open questions for the frame</w:t>
      </w:r>
    </w:p>
    <w:p>
      <w:pPr>
        <w:pStyle w:val="FirstParagraph"/>
      </w:pPr>
      <w:r>
        <w:t xml:space="preserve">Getting the dimensions right is what makes or breaks the synthesis. Four choices in the frame remain genuinely open, and each is a place where the framework’s structure could still resolve differently.</w:t>
      </w:r>
    </w:p>
    <w:p>
      <w:pPr>
        <w:pStyle w:val="BodyText"/>
      </w:pPr>
      <w:r>
        <w:t xml:space="preserve">First, is multiplicity one dimension or two? As stated, it carries two things at once: agents interacting with other agents, and agents spawning sub-agents. Jarrahi and Ritala (2025) treat the interaction problem as multi-agent complexity, while Kolt (2025) treats sub-agent delegation as its own compounding move. These may be one property or two. Parsimony argues for keeping them together, but if spawning warrants its own row, splitting it is cheap now and expensive later.</w:t>
      </w:r>
    </w:p>
    <w:p>
      <w:pPr>
        <w:pStyle w:val="BodyText"/>
      </w:pPr>
      <w:r>
        <w:t xml:space="preserve">Second, should speed become a fifth dimension rather than an intensifier? It runs across the other four in the prose above, on the argument that it strains oversight without being a standalone property of the technology. Kolt (2025) leans on superhuman speed heavily enough that a case exists for promoting it. Sheth kept his count to five, which argues against adding a dimension lightly.</w:t>
      </w:r>
    </w:p>
    <w:p>
      <w:pPr>
        <w:pStyle w:val="BodyText"/>
      </w:pPr>
      <w:r>
        <w:t xml:space="preserve">Third, are six governance domains the right cut? The completeness test holds for the six chosen here, but the cut is a judgment, not a derivation. Collapsing assurance into oversight, or splitting accountability from liability, would change the table’s shape. Whether six reads as the natural set or an arbitrary one is unresolved.</w:t>
      </w:r>
    </w:p>
    <w:p>
      <w:pPr>
        <w:pStyle w:val="BodyText"/>
      </w:pPr>
      <w:r>
        <w:t xml:space="preserve">Fourth, a residual weakness in the evidence base. The multiplicity property does not rest on rule-based automation alone. Agentic-specific review evidence supports it directly: Sapkota et al. (2025) place multi-agent collaboration, dynamic task decomposition, and coordinated autonomy at the center of what makes a system agentic, and Abou Ali et al. (2025), reviewing 90 studies under PRISMA across a symbolic and a neural lineage, flag a governance-model deficit for these systems. What remains scarce is primary field study of governance inside deployed agentic systems, so the Eulerich et al. (2024) RPA evidence still does real work as the closest field anchor. Rinta-Kahila et al. (2021) add a documented governance-failure field case, the Robodebt automated debt-recovery program, though that is automated decision-making rather than agentic AI. The extrapolation from automation to agentic systems is therefore narrower than a pure-RPA grounding would be, but it has not disappeared, and the computer-science-versus-management positioning still shows a thin empirical bridge for agentic AI governance. Whether that residual extrapolation is acceptable for the frame, or whether it needs more agentic field evidence, stays open.</w:t>
      </w:r>
    </w:p>
    <w:p>
      <w:pPr>
        <w:pStyle w:val="BodyText"/>
      </w:pPr>
      <w:r>
        <w:t xml:space="preserve">None of these four is settled. Each is a structural judgment that the systematic review’s design turns on, and each remains an open question the framework raises rather than one it closes.</w:t>
      </w:r>
    </w:p>
    <w:bookmarkEnd w:id="19"/>
    <w:bookmarkStart w:id="20" w:name="sources"/>
    <w:p>
      <w:pPr>
        <w:pStyle w:val="Heading2"/>
      </w:pPr>
      <w:r>
        <w:t xml:space="preserve">Sources</w:t>
      </w:r>
    </w:p>
    <w:p>
      <w:pPr>
        <w:pStyle w:val="FirstParagraph"/>
      </w:pPr>
      <w:r>
        <w:t xml:space="preserve">Works cited above, in full where published details are available:</w:t>
      </w:r>
    </w:p>
    <w:p>
      <w:pPr>
        <w:pStyle w:val="Compact"/>
        <w:numPr>
          <w:ilvl w:val="0"/>
          <w:numId w:val="1001"/>
        </w:numPr>
      </w:pPr>
      <w:r>
        <w:t xml:space="preserve">Abou Ali, M., Dornaika, F., &amp; Charafeddine, J. (2025). Agentic AI: a comprehensive survey of architectures, applications, and future directions.</w:t>
      </w:r>
      <w:r>
        <w:t xml:space="preserve"> </w:t>
      </w:r>
      <w:r>
        <w:rPr>
          <w:i/>
          <w:iCs/>
        </w:rPr>
        <w:t xml:space="preserve">Artificial Intelligence Review</w:t>
      </w:r>
      <w:r>
        <w:t xml:space="preserve">.</w:t>
      </w:r>
    </w:p>
    <w:p>
      <w:pPr>
        <w:pStyle w:val="Compact"/>
        <w:numPr>
          <w:ilvl w:val="0"/>
          <w:numId w:val="1001"/>
        </w:numPr>
      </w:pPr>
      <w:r>
        <w:t xml:space="preserve">Bayram, F., &amp; Ahmed, B. S. (2024). Towards Trustworthy Machine Learning in Production: An Overview of the Robustness in MLOps Approach.</w:t>
      </w:r>
      <w:r>
        <w:t xml:space="preserve"> </w:t>
      </w:r>
      <w:r>
        <w:rPr>
          <w:i/>
          <w:iCs/>
        </w:rPr>
        <w:t xml:space="preserve">ACM Computing Surveys</w:t>
      </w:r>
      <w:r>
        <w:t xml:space="preserve">.</w:t>
      </w:r>
    </w:p>
    <w:p>
      <w:pPr>
        <w:pStyle w:val="Compact"/>
        <w:numPr>
          <w:ilvl w:val="0"/>
          <w:numId w:val="1001"/>
        </w:numPr>
      </w:pPr>
      <w:r>
        <w:t xml:space="preserve">Berente, N., Gu, B., Recker, J., &amp; Santhanam, R. (2021). Managing Artificial Intelligence.</w:t>
      </w:r>
      <w:r>
        <w:t xml:space="preserve"> </w:t>
      </w:r>
      <w:r>
        <w:rPr>
          <w:i/>
          <w:iCs/>
        </w:rPr>
        <w:t xml:space="preserve">MIS Quarterly</w:t>
      </w:r>
      <w:r>
        <w:t xml:space="preserve">, 45(3), 1433-1450.</w:t>
      </w:r>
    </w:p>
    <w:p>
      <w:pPr>
        <w:pStyle w:val="Compact"/>
        <w:numPr>
          <w:ilvl w:val="0"/>
          <w:numId w:val="1001"/>
        </w:numPr>
      </w:pPr>
      <w:r>
        <w:t xml:space="preserve">Eulerich, M., Waddoups, N., Wagener, M., &amp; Wood, D. A. (2024). The Dark Side of Robotic Process Automation. SSRN working paper.</w:t>
      </w:r>
    </w:p>
    <w:p>
      <w:pPr>
        <w:pStyle w:val="Compact"/>
        <w:numPr>
          <w:ilvl w:val="0"/>
          <w:numId w:val="1001"/>
        </w:numPr>
      </w:pPr>
      <w:r>
        <w:t xml:space="preserve">Haase, J., Kremser, W., Leopold, H., Mendling, J., Onnasch, L., &amp; Plattfaut, R. (2024). Interdisciplinary Directions for Researching the Effects of Robotic Process Automation and Large Language Models on Business Processes.</w:t>
      </w:r>
      <w:r>
        <w:t xml:space="preserve"> </w:t>
      </w:r>
      <w:r>
        <w:rPr>
          <w:i/>
          <w:iCs/>
        </w:rPr>
        <w:t xml:space="preserve">Communications of the Association for Information Systems</w:t>
      </w:r>
      <w:r>
        <w:t xml:space="preserve">, 54, 579-604.</w:t>
      </w:r>
    </w:p>
    <w:p>
      <w:pPr>
        <w:pStyle w:val="Compact"/>
        <w:numPr>
          <w:ilvl w:val="0"/>
          <w:numId w:val="1001"/>
        </w:numPr>
      </w:pPr>
      <w:r>
        <w:t xml:space="preserve">Herath Pathirannehelage, S., Shrestha, Y. R., &amp; von Krogh, G. (2024). Design principles for artificial intelligence-augmented decision making: An action design research study.</w:t>
      </w:r>
      <w:r>
        <w:t xml:space="preserve"> </w:t>
      </w:r>
      <w:r>
        <w:rPr>
          <w:i/>
          <w:iCs/>
        </w:rPr>
        <w:t xml:space="preserve">European Journal of Information Systems</w:t>
      </w:r>
      <w:r>
        <w:t xml:space="preserve">.</w:t>
      </w:r>
    </w:p>
    <w:p>
      <w:pPr>
        <w:pStyle w:val="Compact"/>
        <w:numPr>
          <w:ilvl w:val="0"/>
          <w:numId w:val="1001"/>
        </w:numPr>
      </w:pPr>
      <w:r>
        <w:t xml:space="preserve">Jarrahi, M. H., &amp; Ritala, P. (2025). Rethinking AI Agents: A Principal-Agent Perspective.</w:t>
      </w:r>
      <w:r>
        <w:t xml:space="preserve"> </w:t>
      </w:r>
      <w:r>
        <w:rPr>
          <w:i/>
          <w:iCs/>
        </w:rPr>
        <w:t xml:space="preserve">California Management Review</w:t>
      </w:r>
      <w:r>
        <w:t xml:space="preserve">.</w:t>
      </w:r>
    </w:p>
    <w:p>
      <w:pPr>
        <w:pStyle w:val="Compact"/>
        <w:numPr>
          <w:ilvl w:val="0"/>
          <w:numId w:val="1001"/>
        </w:numPr>
      </w:pPr>
      <w:r>
        <w:t xml:space="preserve">Kathuria, A., Karhade, P., Malik, O., Baruri, V. K. Pani, &amp; Konsynski, B. R. (2026). AI Governance and the Decentralization of Technology Production: An Investigation of AI-Based IPA Bots.</w:t>
      </w:r>
      <w:r>
        <w:t xml:space="preserve"> </w:t>
      </w:r>
      <w:r>
        <w:rPr>
          <w:i/>
          <w:iCs/>
        </w:rPr>
        <w:t xml:space="preserve">Information Systems Research</w:t>
      </w:r>
      <w:r>
        <w:t xml:space="preserve">.</w:t>
      </w:r>
    </w:p>
    <w:p>
      <w:pPr>
        <w:pStyle w:val="Compact"/>
        <w:numPr>
          <w:ilvl w:val="0"/>
          <w:numId w:val="1001"/>
        </w:numPr>
      </w:pPr>
      <w:r>
        <w:t xml:space="preserve">Kolt, N. (2025). Governing AI Agents.</w:t>
      </w:r>
      <w:r>
        <w:t xml:space="preserve"> </w:t>
      </w:r>
      <w:r>
        <w:rPr>
          <w:i/>
          <w:iCs/>
        </w:rPr>
        <w:t xml:space="preserve">Notre Dame Law Review</w:t>
      </w:r>
      <w:r>
        <w:t xml:space="preserve">, 101 (forthcoming).</w:t>
      </w:r>
    </w:p>
    <w:p>
      <w:pPr>
        <w:pStyle w:val="Compact"/>
        <w:numPr>
          <w:ilvl w:val="0"/>
          <w:numId w:val="1001"/>
        </w:numPr>
      </w:pPr>
      <w:r>
        <w:t xml:space="preserve">Papagiannidis, E., Mikalef, P., &amp; Conboy, K. (2025). Responsible Artificial Intelligence Governance: A Review and Research Framework.</w:t>
      </w:r>
      <w:r>
        <w:t xml:space="preserve"> </w:t>
      </w:r>
      <w:r>
        <w:rPr>
          <w:i/>
          <w:iCs/>
        </w:rPr>
        <w:t xml:space="preserve">Journal of Strategic Information Systems</w:t>
      </w:r>
      <w:r>
        <w:t xml:space="preserve">, 34, 101885.</w:t>
      </w:r>
    </w:p>
    <w:p>
      <w:pPr>
        <w:pStyle w:val="Compact"/>
        <w:numPr>
          <w:ilvl w:val="0"/>
          <w:numId w:val="1001"/>
        </w:numPr>
      </w:pPr>
      <w:r>
        <w:t xml:space="preserve">Rinta-Kahila, T., Someh, I., Gillespie, N., Indulska, M., &amp; Gregor, S. (2021). Algorithmic decision-making and system destructiveness: A case of automatic debt recovery.</w:t>
      </w:r>
      <w:r>
        <w:t xml:space="preserve"> </w:t>
      </w:r>
      <w:r>
        <w:rPr>
          <w:i/>
          <w:iCs/>
        </w:rPr>
        <w:t xml:space="preserve">European Journal of Information Systems</w:t>
      </w:r>
      <w:r>
        <w:t xml:space="preserve">.</w:t>
      </w:r>
    </w:p>
    <w:p>
      <w:pPr>
        <w:pStyle w:val="Compact"/>
        <w:numPr>
          <w:ilvl w:val="0"/>
          <w:numId w:val="1001"/>
        </w:numPr>
      </w:pPr>
      <w:r>
        <w:t xml:space="preserve">Sapkota, R., Roumeliotis, K. I., &amp; Karkee, M. (2025). AI Agents vs. Agentic AI: A Conceptual Taxonomy, Applications and Challenges.</w:t>
      </w:r>
      <w:r>
        <w:t xml:space="preserve"> </w:t>
      </w:r>
      <w:r>
        <w:rPr>
          <w:i/>
          <w:iCs/>
        </w:rPr>
        <w:t xml:space="preserve">Information Fusion</w:t>
      </w:r>
      <w:r>
        <w:t xml:space="preserve">.</w:t>
      </w:r>
    </w:p>
    <w:p>
      <w:pPr>
        <w:pStyle w:val="Compact"/>
        <w:numPr>
          <w:ilvl w:val="0"/>
          <w:numId w:val="1001"/>
        </w:numPr>
      </w:pPr>
      <w:r>
        <w:t xml:space="preserve">Sheth, J. N. (2011). Impact of Emerging Markets on Marketing: Rethinking Existing Perspectives and Practices.</w:t>
      </w:r>
      <w:r>
        <w:t xml:space="preserve"> </w:t>
      </w:r>
      <w:r>
        <w:rPr>
          <w:i/>
          <w:iCs/>
        </w:rPr>
        <w:t xml:space="preserve">Journal of Marketing</w:t>
      </w:r>
      <w:r>
        <w:t xml:space="preserve">, 75(4), 166-182.</w:t>
      </w:r>
    </w:p>
    <w:p>
      <w:pPr>
        <w:pStyle w:val="FirstParagraph"/>
      </w:pPr>
      <w:r>
        <w:t xml:space="preserve">The two IT-governance baseline references come from the technology-adoption review, which captured author, year, and venue but not full titles. They are left as sourced rather than completed from memory:</w:t>
      </w:r>
    </w:p>
    <w:p>
      <w:pPr>
        <w:pStyle w:val="Compact"/>
        <w:numPr>
          <w:ilvl w:val="0"/>
          <w:numId w:val="1002"/>
        </w:numPr>
      </w:pPr>
      <w:r>
        <w:t xml:space="preserve">Weill, P., &amp; Ross, J. W. (2004). IT Governance. Book. [Full title and publisher not in the loaded sources.]</w:t>
      </w:r>
    </w:p>
    <w:p>
      <w:pPr>
        <w:pStyle w:val="Compact"/>
        <w:numPr>
          <w:ilvl w:val="0"/>
          <w:numId w:val="1002"/>
        </w:numPr>
      </w:pPr>
      <w:r>
        <w:t xml:space="preserve">Brown, A. E., &amp; Grant, G. G. (2005).</w:t>
      </w:r>
      <w:r>
        <w:t xml:space="preserve"> </w:t>
      </w:r>
      <w:r>
        <w:rPr>
          <w:i/>
          <w:iCs/>
        </w:rPr>
        <w:t xml:space="preserve">Communications of the AIS</w:t>
      </w:r>
      <w:r>
        <w:t xml:space="preserve">. [Title not in the loaded sources.]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2026-08-04T06:18:59Z</dcterms:created>
  <dcterms:modified xsi:type="dcterms:W3CDTF">2026-08-04T06:18:59Z</dcterms:modified>
</cp:coreProperties>
</file>

<file path=docProps/custom.xml><?xml version="1.0" encoding="utf-8"?>
<Properties xmlns="http://schemas.openxmlformats.org/officeDocument/2006/custom-properties" xmlns:vt="http://schemas.openxmlformats.org/officeDocument/2006/docPropsVTypes"/>
</file>