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CA83" w14:textId="77777777" w:rsidR="00760BEE" w:rsidRDefault="00000000">
      <w:pPr>
        <w:spacing w:after="40"/>
      </w:pPr>
      <w:r>
        <w:rPr>
          <w:i/>
          <w:sz w:val="22"/>
        </w:rPr>
        <w:t>Prithviraj Patil and Kakoli Sen</w:t>
      </w:r>
    </w:p>
    <w:p w14:paraId="44CCEC31" w14:textId="77777777" w:rsidR="00760BEE" w:rsidRDefault="00000000">
      <w:pPr>
        <w:spacing w:after="120"/>
      </w:pPr>
      <w:r>
        <w:rPr>
          <w:i/>
          <w:sz w:val="22"/>
        </w:rPr>
        <w:t>Indian Institute of Management Sambalpur</w:t>
      </w:r>
    </w:p>
    <w:p w14:paraId="048DDD29" w14:textId="77777777" w:rsidR="00760BEE" w:rsidRDefault="00000000">
      <w:pPr>
        <w:spacing w:after="80"/>
      </w:pPr>
      <w:r>
        <w:rPr>
          <w:i/>
          <w:sz w:val="18"/>
        </w:rPr>
        <w:t>Prithviraj Patil and Kakoli Sen wrote this teaching note as an aid to instructors in the classroom use of the case Sai Tex Ltd.: A Red Queen's Race in Ichhalkaranji. This teaching note should not be used in any way that would prejudice the future use of the case.</w:t>
      </w:r>
    </w:p>
    <w:p w14:paraId="516A1AB3" w14:textId="48EB19D7" w:rsidR="00760BEE" w:rsidRDefault="00000000">
      <w:pPr>
        <w:spacing w:after="80"/>
      </w:pPr>
      <w:r>
        <w:rPr>
          <w:i/>
          <w:sz w:val="18"/>
        </w:rPr>
        <w:t>This publication may not be transmitted, photocopied, digitized, or otherwise reproduced in any form or by any means without the permission of the copyright holder. Reproduction of this material is not covered under authorization by any reproduction rights organization. To order copies or request permission to reproduce materials, contact</w:t>
      </w:r>
      <w:r w:rsidR="000C606C">
        <w:rPr>
          <w:i/>
          <w:sz w:val="18"/>
        </w:rPr>
        <w:t xml:space="preserve"> &lt;PUBLISHER DETAILS&gt;</w:t>
      </w:r>
      <w:r>
        <w:rPr>
          <w:i/>
          <w:sz w:val="18"/>
        </w:rPr>
        <w:t>.</w:t>
      </w:r>
    </w:p>
    <w:p w14:paraId="6E8F36B1" w14:textId="77777777" w:rsidR="00760BEE" w:rsidRDefault="00000000">
      <w:pPr>
        <w:spacing w:after="240"/>
      </w:pPr>
      <w:r>
        <w:rPr>
          <w:i/>
          <w:sz w:val="18"/>
        </w:rPr>
        <w:t>Copyright © 2026, Prithviraj Patil and Kakoli Sen</w:t>
      </w:r>
    </w:p>
    <w:p w14:paraId="07321333" w14:textId="6CB0F1EE" w:rsidR="00760BEE" w:rsidRDefault="00000000">
      <w:pPr>
        <w:pStyle w:val="Heading1"/>
      </w:pPr>
      <w:r>
        <w:t>SAI TEX LTD.: A RED QUEEN'S RACE</w:t>
      </w:r>
    </w:p>
    <w:p w14:paraId="27173869" w14:textId="77777777" w:rsidR="00760BEE" w:rsidRDefault="00000000">
      <w:pPr>
        <w:pStyle w:val="Heading2"/>
      </w:pPr>
      <w:r>
        <w:t>Teaching Note</w:t>
      </w:r>
    </w:p>
    <w:p w14:paraId="40DBE66B" w14:textId="77777777" w:rsidR="00760BEE" w:rsidRDefault="00000000">
      <w:pPr>
        <w:pStyle w:val="Heading2"/>
      </w:pPr>
      <w:r>
        <w:t>Synopsis</w:t>
      </w:r>
    </w:p>
    <w:p w14:paraId="4F235B48" w14:textId="39B35283" w:rsidR="00760BEE" w:rsidRDefault="00000000">
      <w:pPr>
        <w:pStyle w:val="FirstParagraph"/>
      </w:pPr>
      <w:r>
        <w:t xml:space="preserve">Avinash Kisanrao Patil, founder and sole proprietor of Sai Tex Ltd., a job-work </w:t>
      </w:r>
      <w:r w:rsidR="0082003C">
        <w:t>power loom</w:t>
      </w:r>
      <w:r>
        <w:t xml:space="preserve"> unit in Ichhalkaranji, Maharashtra, faces an existential decision in April 2026. His ten Rifa Electronic Rapier looms, purchased in 2010 for US$130,400 (INR 1.2 crore), are now 15 years old, operating at 300 RPM against the 1,200 RPM of modern air-jet looms that competitors have adopted. Three converging forces have pushed Sai Tex from a monthly profit of US$5,087 in 2023 to a monthly loss of US$261 in 2025: a 40 per cent collapse in fabric exports following US tariffs, a doubling of electricity costs, and accelerating migrant </w:t>
      </w:r>
      <w:r w:rsidR="0082003C">
        <w:t>labor</w:t>
      </w:r>
      <w:r>
        <w:t xml:space="preserve"> attrition to upgraded mills. Patil must choose among three options: (A) a US$472,826 "Green Technical Pivot" involving twelve new air-jet looms, a rooftop solar plant, and a shift to the sale-purchase business model, requiring his family bungalow as collateral; (B) a US$43,478 to US$54,348 retrofit of existing machines to buy two to three years of survival; or (C) liquidation and exit. The case provides detailed financial, production, and technology data across seven exhibits, enabling quantitative analysis of each option. It is designed for courses in entrepreneurship, operations strategy, MSME management, and family business at the MBA, executive education, and doctoral level.</w:t>
      </w:r>
    </w:p>
    <w:p w14:paraId="1A71ACC7" w14:textId="2898BC33" w:rsidR="00760BEE" w:rsidRPr="000C606C" w:rsidRDefault="00000000">
      <w:pPr>
        <w:rPr>
          <w:i/>
          <w:iCs/>
        </w:rPr>
      </w:pPr>
      <w:r w:rsidRPr="000C606C">
        <w:rPr>
          <w:i/>
          <w:iCs/>
        </w:rPr>
        <w:t xml:space="preserve">Note: US$1 </w:t>
      </w:r>
      <w:r w:rsidR="000C606C">
        <w:rPr>
          <w:i/>
          <w:iCs/>
        </w:rPr>
        <w:t>~</w:t>
      </w:r>
      <w:r w:rsidRPr="000C606C">
        <w:rPr>
          <w:i/>
          <w:iCs/>
        </w:rPr>
        <w:t xml:space="preserve"> INR 92 (March 2026). All dollar figures in this teaching note use this rate.</w:t>
      </w:r>
    </w:p>
    <w:p w14:paraId="15FE1D0C" w14:textId="77777777" w:rsidR="00760BEE" w:rsidRDefault="00000000">
      <w:pPr>
        <w:pStyle w:val="Heading2"/>
      </w:pPr>
      <w:r>
        <w:t>Learning Objectives</w:t>
      </w:r>
    </w:p>
    <w:p w14:paraId="50AD052A" w14:textId="3961C306" w:rsidR="00760BEE" w:rsidRDefault="00000000">
      <w:pPr>
        <w:pStyle w:val="FirstParagraph"/>
      </w:pPr>
      <w:r>
        <w:t xml:space="preserve">After reading and </w:t>
      </w:r>
      <w:r w:rsidR="0082003C">
        <w:t>analyzing</w:t>
      </w:r>
      <w:r>
        <w:t xml:space="preserve"> this case, students will be able to:</w:t>
      </w:r>
    </w:p>
    <w:p w14:paraId="18ABF1C1" w14:textId="77777777" w:rsidR="00760BEE" w:rsidRDefault="00000000">
      <w:pPr>
        <w:pStyle w:val="BodyText"/>
      </w:pPr>
      <w:r>
        <w:t>1. Evaluate strategic options under resource constraints using the financial and operational data provided in the case exhibits.</w:t>
      </w:r>
    </w:p>
    <w:p w14:paraId="17663642" w14:textId="19CD2189" w:rsidR="00760BEE" w:rsidRDefault="00000000">
      <w:pPr>
        <w:pStyle w:val="BodyText"/>
      </w:pPr>
      <w:r>
        <w:t xml:space="preserve">2. </w:t>
      </w:r>
      <w:r w:rsidR="0082003C">
        <w:t>Analyze</w:t>
      </w:r>
      <w:r>
        <w:t xml:space="preserve"> how the Red Queen Effect operates in a traditional manufacturing cluster where firms must continuously invest in technology merely to maintain their competitive position.</w:t>
      </w:r>
    </w:p>
    <w:p w14:paraId="473C3DD8" w14:textId="77777777" w:rsidR="00760BEE" w:rsidRDefault="00000000">
      <w:pPr>
        <w:pStyle w:val="BodyText"/>
      </w:pPr>
      <w:r>
        <w:lastRenderedPageBreak/>
        <w:t>3. Compare the job-work model with the sale-purchase model and evaluate when a business model pivot is warranted.</w:t>
      </w:r>
    </w:p>
    <w:p w14:paraId="6D1D6653" w14:textId="15A65C0E" w:rsidR="00760BEE" w:rsidRDefault="00000000">
      <w:pPr>
        <w:pStyle w:val="BodyText"/>
      </w:pPr>
      <w:r>
        <w:t xml:space="preserve">4. Apply the Theory of Constraints to identify whether Sai Tex's binding constraint is technology, </w:t>
      </w:r>
      <w:r w:rsidR="0082003C">
        <w:t>labor</w:t>
      </w:r>
      <w:r>
        <w:t>, market access, or capital.</w:t>
      </w:r>
    </w:p>
    <w:p w14:paraId="1BEB7CB5" w14:textId="548EA077" w:rsidR="00760BEE" w:rsidRDefault="00000000">
      <w:pPr>
        <w:pStyle w:val="BodyText"/>
      </w:pPr>
      <w:r>
        <w:t xml:space="preserve">5. Examine how socio-emotional wealth (SEW) shapes strategic choices in ways that diverge from purely financial </w:t>
      </w:r>
      <w:r w:rsidR="0082003C">
        <w:t>optimization</w:t>
      </w:r>
      <w:r>
        <w:t>.</w:t>
      </w:r>
    </w:p>
    <w:p w14:paraId="341BFDA7" w14:textId="77777777" w:rsidR="00760BEE" w:rsidRDefault="00000000">
      <w:pPr>
        <w:pStyle w:val="Heading2"/>
      </w:pPr>
      <w:r>
        <w:t>Position in Course</w:t>
      </w:r>
    </w:p>
    <w:p w14:paraId="30DEB79A" w14:textId="77777777" w:rsidR="00760BEE" w:rsidRDefault="00000000">
      <w:pPr>
        <w:pStyle w:val="FirstParagraph"/>
      </w:pPr>
      <w:r>
        <w:t>The case is designed for graduate (MBA), executive education, and doctoral-level courses. It fits the following course areas:</w:t>
      </w:r>
    </w:p>
    <w:tbl>
      <w:tblPr>
        <w:tblStyle w:val="PlainTable1"/>
        <w:tblW w:w="0" w:type="auto"/>
        <w:tblLook w:val="04A0" w:firstRow="1" w:lastRow="0" w:firstColumn="1" w:lastColumn="0" w:noHBand="0" w:noVBand="1"/>
      </w:tblPr>
      <w:tblGrid>
        <w:gridCol w:w="9576"/>
      </w:tblGrid>
      <w:tr w:rsidR="000C606C" w14:paraId="3AA849B4" w14:textId="77777777" w:rsidTr="000C6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PlainTable1"/>
              <w:tblW w:w="9550" w:type="dxa"/>
              <w:jc w:val="center"/>
              <w:tblLook w:val="04A0" w:firstRow="1" w:lastRow="0" w:firstColumn="1" w:lastColumn="0" w:noHBand="0" w:noVBand="1"/>
            </w:tblPr>
            <w:tblGrid>
              <w:gridCol w:w="4775"/>
              <w:gridCol w:w="4775"/>
            </w:tblGrid>
            <w:tr w:rsidR="000C606C" w:rsidRPr="000C606C" w14:paraId="445ECE31" w14:textId="77777777" w:rsidTr="001B38D1">
              <w:trPr>
                <w:cnfStyle w:val="100000000000" w:firstRow="1" w:lastRow="0" w:firstColumn="0" w:lastColumn="0" w:oddVBand="0" w:evenVBand="0" w:oddHBand="0"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4775" w:type="dxa"/>
                  <w:shd w:val="clear" w:color="auto" w:fill="C1F0C7" w:themeFill="accent3" w:themeFillTint="33"/>
                </w:tcPr>
                <w:p w14:paraId="0274A802" w14:textId="77777777" w:rsidR="000C606C" w:rsidRPr="000C606C" w:rsidRDefault="000C606C" w:rsidP="000C606C">
                  <w:pPr>
                    <w:jc w:val="center"/>
                  </w:pPr>
                  <w:r w:rsidRPr="000C606C">
                    <w:t>Course Area</w:t>
                  </w:r>
                </w:p>
              </w:tc>
              <w:tc>
                <w:tcPr>
                  <w:tcW w:w="4775" w:type="dxa"/>
                  <w:shd w:val="clear" w:color="auto" w:fill="C1F0C7" w:themeFill="accent3" w:themeFillTint="33"/>
                </w:tcPr>
                <w:p w14:paraId="505E152A" w14:textId="77777777" w:rsidR="000C606C" w:rsidRPr="000C606C" w:rsidRDefault="000C606C" w:rsidP="000C606C">
                  <w:pPr>
                    <w:jc w:val="center"/>
                    <w:cnfStyle w:val="100000000000" w:firstRow="1" w:lastRow="0" w:firstColumn="0" w:lastColumn="0" w:oddVBand="0" w:evenVBand="0" w:oddHBand="0" w:evenHBand="0" w:firstRowFirstColumn="0" w:firstRowLastColumn="0" w:lastRowFirstColumn="0" w:lastRowLastColumn="0"/>
                  </w:pPr>
                  <w:r w:rsidRPr="000C606C">
                    <w:t>Specific Topic</w:t>
                  </w:r>
                </w:p>
              </w:tc>
            </w:tr>
            <w:tr w:rsidR="000C606C" w:rsidRPr="000C606C" w14:paraId="4C08746C" w14:textId="77777777" w:rsidTr="000C606C">
              <w:trPr>
                <w:cnfStyle w:val="000000100000" w:firstRow="0" w:lastRow="0" w:firstColumn="0" w:lastColumn="0" w:oddVBand="0" w:evenVBand="0" w:oddHBand="1" w:evenHBand="0" w:firstRowFirstColumn="0" w:firstRowLastColumn="0" w:lastRowFirstColumn="0" w:lastRowLastColumn="0"/>
                <w:trHeight w:val="721"/>
                <w:jc w:val="center"/>
              </w:trPr>
              <w:tc>
                <w:tcPr>
                  <w:cnfStyle w:val="001000000000" w:firstRow="0" w:lastRow="0" w:firstColumn="1" w:lastColumn="0" w:oddVBand="0" w:evenVBand="0" w:oddHBand="0" w:evenHBand="0" w:firstRowFirstColumn="0" w:firstRowLastColumn="0" w:lastRowFirstColumn="0" w:lastRowLastColumn="0"/>
                  <w:tcW w:w="4775" w:type="dxa"/>
                  <w:shd w:val="clear" w:color="auto" w:fill="auto"/>
                </w:tcPr>
                <w:p w14:paraId="041907CB" w14:textId="77777777" w:rsidR="000C606C" w:rsidRPr="000C606C" w:rsidRDefault="000C606C" w:rsidP="000C606C">
                  <w:pPr>
                    <w:jc w:val="center"/>
                  </w:pPr>
                  <w:r w:rsidRPr="000C606C">
                    <w:t>Entrepreneurship</w:t>
                  </w:r>
                </w:p>
              </w:tc>
              <w:tc>
                <w:tcPr>
                  <w:tcW w:w="4775" w:type="dxa"/>
                  <w:shd w:val="clear" w:color="auto" w:fill="auto"/>
                </w:tcPr>
                <w:p w14:paraId="4F4CAFFE" w14:textId="77777777" w:rsidR="000C606C" w:rsidRPr="000C606C" w:rsidRDefault="000C606C" w:rsidP="000C606C">
                  <w:pPr>
                    <w:jc w:val="center"/>
                    <w:cnfStyle w:val="000000100000" w:firstRow="0" w:lastRow="0" w:firstColumn="0" w:lastColumn="0" w:oddVBand="0" w:evenVBand="0" w:oddHBand="1" w:evenHBand="0" w:firstRowFirstColumn="0" w:firstRowLastColumn="0" w:lastRowFirstColumn="0" w:lastRowLastColumn="0"/>
                  </w:pPr>
                  <w:r w:rsidRPr="000C606C">
                    <w:t>MSME survival strategy; first-generation entrepreneur decision-making</w:t>
                  </w:r>
                </w:p>
              </w:tc>
            </w:tr>
            <w:tr w:rsidR="000C606C" w:rsidRPr="000C606C" w14:paraId="7068FDB8" w14:textId="77777777" w:rsidTr="000C606C">
              <w:trPr>
                <w:trHeight w:val="721"/>
                <w:jc w:val="center"/>
              </w:trPr>
              <w:tc>
                <w:tcPr>
                  <w:cnfStyle w:val="001000000000" w:firstRow="0" w:lastRow="0" w:firstColumn="1" w:lastColumn="0" w:oddVBand="0" w:evenVBand="0" w:oddHBand="0" w:evenHBand="0" w:firstRowFirstColumn="0" w:firstRowLastColumn="0" w:lastRowFirstColumn="0" w:lastRowLastColumn="0"/>
                  <w:tcW w:w="4775" w:type="dxa"/>
                </w:tcPr>
                <w:p w14:paraId="7B672235" w14:textId="77777777" w:rsidR="000C606C" w:rsidRPr="000C606C" w:rsidRDefault="000C606C" w:rsidP="000C606C">
                  <w:pPr>
                    <w:jc w:val="center"/>
                  </w:pPr>
                  <w:r w:rsidRPr="000C606C">
                    <w:t>Operations Management / Strategy</w:t>
                  </w:r>
                </w:p>
              </w:tc>
              <w:tc>
                <w:tcPr>
                  <w:tcW w:w="4775" w:type="dxa"/>
                </w:tcPr>
                <w:p w14:paraId="3E983654" w14:textId="77777777" w:rsidR="000C606C" w:rsidRPr="000C606C" w:rsidRDefault="000C606C" w:rsidP="000C606C">
                  <w:pPr>
                    <w:jc w:val="center"/>
                    <w:cnfStyle w:val="000000000000" w:firstRow="0" w:lastRow="0" w:firstColumn="0" w:lastColumn="0" w:oddVBand="0" w:evenVBand="0" w:oddHBand="0" w:evenHBand="0" w:firstRowFirstColumn="0" w:firstRowLastColumn="0" w:lastRowFirstColumn="0" w:lastRowLastColumn="0"/>
                  </w:pPr>
                  <w:r w:rsidRPr="000C606C">
                    <w:t>Technology adoption; capacity planning; Theory of Constraints</w:t>
                  </w:r>
                </w:p>
              </w:tc>
            </w:tr>
            <w:tr w:rsidR="000C606C" w:rsidRPr="000C606C" w14:paraId="58450E5D" w14:textId="77777777" w:rsidTr="000C606C">
              <w:trPr>
                <w:cnfStyle w:val="000000100000" w:firstRow="0" w:lastRow="0" w:firstColumn="0" w:lastColumn="0" w:oddVBand="0" w:evenVBand="0" w:oddHBand="1" w:evenHBand="0" w:firstRowFirstColumn="0" w:firstRowLastColumn="0" w:lastRowFirstColumn="0" w:lastRowLastColumn="0"/>
                <w:trHeight w:val="721"/>
                <w:jc w:val="center"/>
              </w:trPr>
              <w:tc>
                <w:tcPr>
                  <w:cnfStyle w:val="001000000000" w:firstRow="0" w:lastRow="0" w:firstColumn="1" w:lastColumn="0" w:oddVBand="0" w:evenVBand="0" w:oddHBand="0" w:evenHBand="0" w:firstRowFirstColumn="0" w:firstRowLastColumn="0" w:lastRowFirstColumn="0" w:lastRowLastColumn="0"/>
                  <w:tcW w:w="4775" w:type="dxa"/>
                  <w:shd w:val="clear" w:color="auto" w:fill="auto"/>
                </w:tcPr>
                <w:p w14:paraId="06DA6772" w14:textId="77777777" w:rsidR="000C606C" w:rsidRPr="000C606C" w:rsidRDefault="000C606C" w:rsidP="000C606C">
                  <w:pPr>
                    <w:jc w:val="center"/>
                  </w:pPr>
                  <w:r w:rsidRPr="000C606C">
                    <w:t>Strategic Management</w:t>
                  </w:r>
                </w:p>
              </w:tc>
              <w:tc>
                <w:tcPr>
                  <w:tcW w:w="4775" w:type="dxa"/>
                  <w:shd w:val="clear" w:color="auto" w:fill="auto"/>
                </w:tcPr>
                <w:p w14:paraId="03BF2D9A" w14:textId="77777777" w:rsidR="000C606C" w:rsidRPr="000C606C" w:rsidRDefault="000C606C" w:rsidP="000C606C">
                  <w:pPr>
                    <w:jc w:val="center"/>
                    <w:cnfStyle w:val="000000100000" w:firstRow="0" w:lastRow="0" w:firstColumn="0" w:lastColumn="0" w:oddVBand="0" w:evenVBand="0" w:oddHBand="1" w:evenHBand="0" w:firstRowFirstColumn="0" w:firstRowLastColumn="0" w:lastRowFirstColumn="0" w:lastRowLastColumn="0"/>
                  </w:pPr>
                  <w:r w:rsidRPr="000C606C">
                    <w:t>Competitive dynamics in declining industries; Red Queen Effect</w:t>
                  </w:r>
                </w:p>
              </w:tc>
            </w:tr>
            <w:tr w:rsidR="000C606C" w:rsidRPr="000C606C" w14:paraId="3F07BCD8" w14:textId="77777777" w:rsidTr="000C606C">
              <w:trPr>
                <w:trHeight w:val="696"/>
                <w:jc w:val="center"/>
              </w:trPr>
              <w:tc>
                <w:tcPr>
                  <w:cnfStyle w:val="001000000000" w:firstRow="0" w:lastRow="0" w:firstColumn="1" w:lastColumn="0" w:oddVBand="0" w:evenVBand="0" w:oddHBand="0" w:evenHBand="0" w:firstRowFirstColumn="0" w:firstRowLastColumn="0" w:lastRowFirstColumn="0" w:lastRowLastColumn="0"/>
                  <w:tcW w:w="4775" w:type="dxa"/>
                </w:tcPr>
                <w:p w14:paraId="6C44E012" w14:textId="77777777" w:rsidR="000C606C" w:rsidRPr="000C606C" w:rsidRDefault="000C606C" w:rsidP="000C606C">
                  <w:pPr>
                    <w:jc w:val="center"/>
                  </w:pPr>
                  <w:r w:rsidRPr="000C606C">
                    <w:t>Family Business / SEW</w:t>
                  </w:r>
                </w:p>
              </w:tc>
              <w:tc>
                <w:tcPr>
                  <w:tcW w:w="4775" w:type="dxa"/>
                </w:tcPr>
                <w:p w14:paraId="29550E06" w14:textId="77777777" w:rsidR="000C606C" w:rsidRPr="000C606C" w:rsidRDefault="000C606C" w:rsidP="000C606C">
                  <w:pPr>
                    <w:jc w:val="center"/>
                    <w:cnfStyle w:val="000000000000" w:firstRow="0" w:lastRow="0" w:firstColumn="0" w:lastColumn="0" w:oddVBand="0" w:evenVBand="0" w:oddHBand="0" w:evenHBand="0" w:firstRowFirstColumn="0" w:firstRowLastColumn="0" w:lastRowFirstColumn="0" w:lastRowLastColumn="0"/>
                  </w:pPr>
                  <w:r w:rsidRPr="000C606C">
                    <w:t>Socio-emotional wealth; non-financial goals in strategic choice</w:t>
                  </w:r>
                </w:p>
              </w:tc>
            </w:tr>
            <w:tr w:rsidR="000C606C" w:rsidRPr="000C606C" w14:paraId="7E7E0D91" w14:textId="77777777" w:rsidTr="000C606C">
              <w:trPr>
                <w:cnfStyle w:val="000000100000" w:firstRow="0" w:lastRow="0" w:firstColumn="0" w:lastColumn="0" w:oddVBand="0" w:evenVBand="0" w:oddHBand="1" w:evenHBand="0" w:firstRowFirstColumn="0" w:firstRowLastColumn="0" w:lastRowFirstColumn="0" w:lastRowLastColumn="0"/>
                <w:trHeight w:val="721"/>
                <w:jc w:val="center"/>
              </w:trPr>
              <w:tc>
                <w:tcPr>
                  <w:cnfStyle w:val="001000000000" w:firstRow="0" w:lastRow="0" w:firstColumn="1" w:lastColumn="0" w:oddVBand="0" w:evenVBand="0" w:oddHBand="0" w:evenHBand="0" w:firstRowFirstColumn="0" w:firstRowLastColumn="0" w:lastRowFirstColumn="0" w:lastRowLastColumn="0"/>
                  <w:tcW w:w="4775" w:type="dxa"/>
                  <w:shd w:val="clear" w:color="auto" w:fill="auto"/>
                </w:tcPr>
                <w:p w14:paraId="26E47AF2" w14:textId="77777777" w:rsidR="000C606C" w:rsidRPr="000C606C" w:rsidRDefault="000C606C" w:rsidP="000C606C">
                  <w:pPr>
                    <w:jc w:val="center"/>
                  </w:pPr>
                  <w:r w:rsidRPr="000C606C">
                    <w:t>Indian Business Environment</w:t>
                  </w:r>
                </w:p>
              </w:tc>
              <w:tc>
                <w:tcPr>
                  <w:tcW w:w="4775" w:type="dxa"/>
                  <w:shd w:val="clear" w:color="auto" w:fill="auto"/>
                </w:tcPr>
                <w:p w14:paraId="264D4C8A" w14:textId="144927F4" w:rsidR="000C606C" w:rsidRPr="000C606C" w:rsidRDefault="000C606C" w:rsidP="000C606C">
                  <w:pPr>
                    <w:jc w:val="center"/>
                    <w:cnfStyle w:val="000000100000" w:firstRow="0" w:lastRow="0" w:firstColumn="0" w:lastColumn="0" w:oddVBand="0" w:evenVBand="0" w:oddHBand="1" w:evenHBand="0" w:firstRowFirstColumn="0" w:firstRowLastColumn="0" w:lastRowFirstColumn="0" w:lastRowLastColumn="0"/>
                  </w:pPr>
                  <w:r w:rsidRPr="000C606C">
                    <w:t xml:space="preserve">Textile cluster economics; industrial policy (MAHA-TUFS); migrant </w:t>
                  </w:r>
                  <w:r w:rsidR="0082003C" w:rsidRPr="000C606C">
                    <w:t>labor</w:t>
                  </w:r>
                  <w:r w:rsidRPr="000C606C">
                    <w:t xml:space="preserve"> dynamics</w:t>
                  </w:r>
                </w:p>
              </w:tc>
            </w:tr>
            <w:tr w:rsidR="000C606C" w:rsidRPr="000C606C" w14:paraId="52DAAAB5" w14:textId="77777777" w:rsidTr="000C606C">
              <w:trPr>
                <w:trHeight w:val="696"/>
                <w:jc w:val="center"/>
              </w:trPr>
              <w:tc>
                <w:tcPr>
                  <w:cnfStyle w:val="001000000000" w:firstRow="0" w:lastRow="0" w:firstColumn="1" w:lastColumn="0" w:oddVBand="0" w:evenVBand="0" w:oddHBand="0" w:evenHBand="0" w:firstRowFirstColumn="0" w:firstRowLastColumn="0" w:lastRowFirstColumn="0" w:lastRowLastColumn="0"/>
                  <w:tcW w:w="4775" w:type="dxa"/>
                </w:tcPr>
                <w:p w14:paraId="44DB5FCC" w14:textId="77777777" w:rsidR="000C606C" w:rsidRPr="000C606C" w:rsidRDefault="000C606C" w:rsidP="000C606C">
                  <w:pPr>
                    <w:jc w:val="center"/>
                  </w:pPr>
                  <w:r w:rsidRPr="000C606C">
                    <w:t>Managerial Accounting / Finance</w:t>
                  </w:r>
                </w:p>
              </w:tc>
              <w:tc>
                <w:tcPr>
                  <w:tcW w:w="4775" w:type="dxa"/>
                </w:tcPr>
                <w:p w14:paraId="2EF6F325" w14:textId="77777777" w:rsidR="000C606C" w:rsidRPr="000C606C" w:rsidRDefault="000C606C" w:rsidP="000C606C">
                  <w:pPr>
                    <w:jc w:val="center"/>
                    <w:cnfStyle w:val="000000000000" w:firstRow="0" w:lastRow="0" w:firstColumn="0" w:lastColumn="0" w:oddVBand="0" w:evenVBand="0" w:oddHBand="0" w:evenHBand="0" w:firstRowFirstColumn="0" w:firstRowLastColumn="0" w:lastRowFirstColumn="0" w:lastRowLastColumn="0"/>
                  </w:pPr>
                  <w:r w:rsidRPr="000C606C">
                    <w:t>Break-even analysis; capital budgeting under uncertainty</w:t>
                  </w:r>
                </w:p>
              </w:tc>
            </w:tr>
          </w:tbl>
          <w:p w14:paraId="29D3BA8C" w14:textId="77777777" w:rsidR="000C606C" w:rsidRDefault="000C606C"/>
        </w:tc>
      </w:tr>
    </w:tbl>
    <w:p w14:paraId="6FBAC554" w14:textId="7E392C30" w:rsidR="00760BEE" w:rsidRDefault="00000000">
      <w:pPr>
        <w:pStyle w:val="BodyText"/>
      </w:pPr>
      <w:r>
        <w:t xml:space="preserve">The case works best after students have been introduced to basic strategic analysis frameworks (PESTEL, SWOT, Porter's Five Forces) and financial statement analysis. It can serve as an integrative case requiring students to </w:t>
      </w:r>
      <w:r w:rsidR="0082003C">
        <w:t>synthesize</w:t>
      </w:r>
      <w:r>
        <w:t xml:space="preserve"> across operations, finance, strategy, and </w:t>
      </w:r>
      <w:r w:rsidR="0082003C">
        <w:t>behavioral</w:t>
      </w:r>
      <w:r>
        <w:t xml:space="preserve"> dimensions. No prior knowledge of the Indian textile industry is required.</w:t>
      </w:r>
    </w:p>
    <w:p w14:paraId="6B311D3A" w14:textId="77777777" w:rsidR="00760BEE" w:rsidRDefault="00000000">
      <w:pPr>
        <w:pStyle w:val="Heading2"/>
      </w:pPr>
      <w:r>
        <w:t>Relevant Readings</w:t>
      </w:r>
    </w:p>
    <w:p w14:paraId="563B21B2" w14:textId="73D539ED" w:rsidR="00760BEE" w:rsidRDefault="00000000" w:rsidP="000C606C">
      <w:pPr>
        <w:pStyle w:val="FirstParagraph"/>
        <w:numPr>
          <w:ilvl w:val="0"/>
          <w:numId w:val="2"/>
        </w:numPr>
      </w:pPr>
      <w:r>
        <w:t>Barnett, W. P. and Hansen, M. T. (1996), "The Red Queen in Organizational Evolution," Strategic Management Journal, 17(S1), pp. 139–157.</w:t>
      </w:r>
    </w:p>
    <w:p w14:paraId="35888B99" w14:textId="267F8E73" w:rsidR="00760BEE" w:rsidRDefault="00000000" w:rsidP="000C606C">
      <w:pPr>
        <w:pStyle w:val="BodyText"/>
        <w:numPr>
          <w:ilvl w:val="0"/>
          <w:numId w:val="2"/>
        </w:numPr>
      </w:pPr>
      <w:r>
        <w:t>Berrone, P., Cruz, C. and Gómez-Mejía, L. R. (2012), "Socioemotional Wealth in Family Firms: Theoretical Dimensions, Assessment Approaches, and Agenda for Future Research," Family Business Review, 25(3), pp. 258–279.</w:t>
      </w:r>
    </w:p>
    <w:p w14:paraId="52602F91" w14:textId="0ABDDBDA" w:rsidR="00760BEE" w:rsidRDefault="00000000" w:rsidP="000C606C">
      <w:pPr>
        <w:pStyle w:val="BodyText"/>
        <w:numPr>
          <w:ilvl w:val="0"/>
          <w:numId w:val="2"/>
        </w:numPr>
      </w:pPr>
      <w:r>
        <w:lastRenderedPageBreak/>
        <w:t>Goldratt, E. M. and Cox, J. (2004), The Goal: A Process of Ongoing Improvement, 3rd rev. ed. (Great Barrington, MA: North River Press).</w:t>
      </w:r>
    </w:p>
    <w:p w14:paraId="4F0DB65A" w14:textId="37C4617A" w:rsidR="00760BEE" w:rsidRDefault="00000000" w:rsidP="000C606C">
      <w:pPr>
        <w:pStyle w:val="BodyText"/>
        <w:numPr>
          <w:ilvl w:val="0"/>
          <w:numId w:val="2"/>
        </w:numPr>
      </w:pPr>
      <w:r>
        <w:t>Porter, M. E. (1998), "Clusters and the New Economics of Competition," Harvard Business Review, 76(6), pp. 77–90.</w:t>
      </w:r>
    </w:p>
    <w:p w14:paraId="5C196B04" w14:textId="472C2AD4" w:rsidR="00760BEE" w:rsidRDefault="00000000" w:rsidP="000C606C">
      <w:pPr>
        <w:pStyle w:val="BodyText"/>
        <w:numPr>
          <w:ilvl w:val="0"/>
          <w:numId w:val="2"/>
        </w:numPr>
      </w:pPr>
      <w:r>
        <w:t>Khanna, T. and Palepu, K. G. (2010), Winning in Emerging Markets: A Road Map for Strategy and Execution (Boston: Harvard Business Press), Chapters 2–4.</w:t>
      </w:r>
    </w:p>
    <w:p w14:paraId="562B6DDD" w14:textId="48C39B9B" w:rsidR="00760BEE" w:rsidRDefault="00000000" w:rsidP="000C606C">
      <w:pPr>
        <w:pStyle w:val="BodyText"/>
        <w:numPr>
          <w:ilvl w:val="0"/>
          <w:numId w:val="2"/>
        </w:numPr>
      </w:pPr>
      <w:r>
        <w:t>Gómez-Mejía, L. R. et al. (2007), "Socioemotional Wealth and Business Risks in Family-Controlled Firms: Evidence from Spanish Olive Oil Mills," Administrative Science Quarterly, 52(1), pp. 106–137.</w:t>
      </w:r>
    </w:p>
    <w:p w14:paraId="5B22A953" w14:textId="77777777" w:rsidR="00760BEE" w:rsidRDefault="00000000">
      <w:pPr>
        <w:pStyle w:val="Heading2"/>
      </w:pPr>
      <w:r>
        <w:t>Assignment Questions</w:t>
      </w:r>
    </w:p>
    <w:p w14:paraId="5BC6C086" w14:textId="77777777" w:rsidR="00760BEE" w:rsidRDefault="00000000">
      <w:pPr>
        <w:pStyle w:val="FirstParagraph"/>
      </w:pPr>
      <w:r>
        <w:t>1. Using the data in Exhibits 1, 2, and 7, construct a break-even analysis for Sai Tex under the current job-work model. At what monthly production volume (in metres) does Sai Tex break even at the 2025 cost structure? What job-work rate (paisa per pick) would Sai Tex need to break even at its current average production volume?</w:t>
      </w:r>
    </w:p>
    <w:p w14:paraId="72D4B9AE" w14:textId="77777777" w:rsidR="00760BEE" w:rsidRDefault="00000000">
      <w:pPr>
        <w:pStyle w:val="BodyText"/>
      </w:pPr>
      <w:r>
        <w:t>2. Evaluate the three strategic options (Exhibit 3) using a decision matrix that weighs financial viability, operational risk, stakeholder impact, and strategic positioning. Which option would you recommend, and under what assumptions does your recommendation hold?</w:t>
      </w:r>
    </w:p>
    <w:p w14:paraId="65E442B7" w14:textId="77777777" w:rsidR="00760BEE" w:rsidRDefault="00000000">
      <w:pPr>
        <w:pStyle w:val="BodyText"/>
      </w:pPr>
      <w:r>
        <w:t>3. How does the Red Queen Effect explain Sai Tex's competitive decline? Identify the specific mechanisms through which technological stagnation has created a self-reinforcing cycle of decline for the firm.</w:t>
      </w:r>
    </w:p>
    <w:p w14:paraId="00E06616" w14:textId="756B08A0" w:rsidR="00760BEE" w:rsidRDefault="00000000">
      <w:pPr>
        <w:pStyle w:val="BodyText"/>
      </w:pPr>
      <w:r>
        <w:t xml:space="preserve">4. Apply the Theory of Constraints to Sai Tex's operations. What is the binding constraint: technology, </w:t>
      </w:r>
      <w:r w:rsidR="0082003C">
        <w:t>labor</w:t>
      </w:r>
      <w:r>
        <w:t>, market access, or capital? How does identifying the correct constraint change the recommended course of action?</w:t>
      </w:r>
    </w:p>
    <w:p w14:paraId="3BB91A48" w14:textId="77777777" w:rsidR="00760BEE" w:rsidRDefault="00000000">
      <w:pPr>
        <w:pStyle w:val="BodyText"/>
      </w:pPr>
      <w:r>
        <w:t>5. Patil's father instilled in him the belief that "if you have the means to give someone a livelihood, you have the duty to do it." How does this socio-emotional wealth orientation affect Patil's strategic calculus? Should non-financial considerations change the recommended option? Why or why not?</w:t>
      </w:r>
    </w:p>
    <w:p w14:paraId="47321027" w14:textId="77777777" w:rsidR="00760BEE" w:rsidRDefault="00000000">
      <w:pPr>
        <w:pStyle w:val="Heading2"/>
      </w:pPr>
      <w:r>
        <w:t>Teaching Plan</w:t>
      </w:r>
    </w:p>
    <w:p w14:paraId="66A27EDC" w14:textId="456E435D" w:rsidR="00760BEE" w:rsidRDefault="00000000">
      <w:pPr>
        <w:pStyle w:val="FirstParagraph"/>
      </w:pPr>
      <w:r>
        <w:t xml:space="preserve">The plan below is designed for a 90-minute class session. </w:t>
      </w:r>
    </w:p>
    <w:p w14:paraId="02E99DD6" w14:textId="77777777" w:rsidR="00760BEE" w:rsidRDefault="00000000">
      <w:pPr>
        <w:pStyle w:val="BodyText"/>
      </w:pPr>
      <w:r>
        <w:rPr>
          <w:b/>
        </w:rPr>
        <w:t>90-Minute Session</w:t>
      </w:r>
    </w:p>
    <w:tbl>
      <w:tblPr>
        <w:tblStyle w:val="PlainTable1"/>
        <w:tblW w:w="10278" w:type="dxa"/>
        <w:tblLook w:val="04A0" w:firstRow="1" w:lastRow="0" w:firstColumn="1" w:lastColumn="0" w:noHBand="0" w:noVBand="1"/>
      </w:tblPr>
      <w:tblGrid>
        <w:gridCol w:w="2340"/>
        <w:gridCol w:w="2340"/>
        <w:gridCol w:w="2340"/>
        <w:gridCol w:w="3258"/>
      </w:tblGrid>
      <w:tr w:rsidR="00760BEE" w14:paraId="6B66E763" w14:textId="77777777" w:rsidTr="000C606C">
        <w:trPr>
          <w:cnfStyle w:val="100000000000" w:firstRow="1" w:lastRow="0" w:firstColumn="0" w:lastColumn="0" w:oddVBand="0" w:evenVBand="0" w:oddHBand="0"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340" w:type="dxa"/>
            <w:shd w:val="clear" w:color="auto" w:fill="C1F0C7" w:themeFill="accent3" w:themeFillTint="33"/>
          </w:tcPr>
          <w:p w14:paraId="5758BB09" w14:textId="77777777" w:rsidR="00760BEE" w:rsidRDefault="00000000" w:rsidP="000C606C">
            <w:pPr>
              <w:jc w:val="center"/>
            </w:pPr>
            <w:r>
              <w:t>Segment</w:t>
            </w:r>
          </w:p>
        </w:tc>
        <w:tc>
          <w:tcPr>
            <w:tcW w:w="2340" w:type="dxa"/>
            <w:shd w:val="clear" w:color="auto" w:fill="C1F0C7" w:themeFill="accent3" w:themeFillTint="33"/>
          </w:tcPr>
          <w:p w14:paraId="020C2D21"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Time</w:t>
            </w:r>
          </w:p>
        </w:tc>
        <w:tc>
          <w:tcPr>
            <w:tcW w:w="2340" w:type="dxa"/>
            <w:shd w:val="clear" w:color="auto" w:fill="C1F0C7" w:themeFill="accent3" w:themeFillTint="33"/>
          </w:tcPr>
          <w:p w14:paraId="282C01D6"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Activity</w:t>
            </w:r>
          </w:p>
        </w:tc>
        <w:tc>
          <w:tcPr>
            <w:tcW w:w="3258" w:type="dxa"/>
            <w:shd w:val="clear" w:color="auto" w:fill="C1F0C7" w:themeFill="accent3" w:themeFillTint="33"/>
          </w:tcPr>
          <w:p w14:paraId="3B4F4716"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Key Discussion Points</w:t>
            </w:r>
          </w:p>
        </w:tc>
      </w:tr>
      <w:tr w:rsidR="00760BEE" w14:paraId="07F667FD" w14:textId="77777777" w:rsidTr="0082003C">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65C7BD58" w14:textId="77777777" w:rsidR="00760BEE" w:rsidRDefault="00000000" w:rsidP="000C606C">
            <w:pPr>
              <w:jc w:val="center"/>
            </w:pPr>
            <w:r>
              <w:lastRenderedPageBreak/>
              <w:t>Opening</w:t>
            </w:r>
          </w:p>
        </w:tc>
        <w:tc>
          <w:tcPr>
            <w:tcW w:w="2340" w:type="dxa"/>
            <w:shd w:val="clear" w:color="auto" w:fill="auto"/>
          </w:tcPr>
          <w:p w14:paraId="3AB7C6E4"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5 min</w:t>
            </w:r>
          </w:p>
        </w:tc>
        <w:tc>
          <w:tcPr>
            <w:tcW w:w="2340" w:type="dxa"/>
            <w:shd w:val="clear" w:color="auto" w:fill="auto"/>
          </w:tcPr>
          <w:p w14:paraId="3755DE36"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Cold call / poll</w:t>
            </w:r>
          </w:p>
        </w:tc>
        <w:tc>
          <w:tcPr>
            <w:tcW w:w="3258" w:type="dxa"/>
            <w:shd w:val="clear" w:color="auto" w:fill="auto"/>
          </w:tcPr>
          <w:p w14:paraId="743A9F19"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"By show of hands: Option A, B, or C? Why?" Record the split on the board.</w:t>
            </w:r>
          </w:p>
        </w:tc>
      </w:tr>
      <w:tr w:rsidR="00760BEE" w14:paraId="16A8726E" w14:textId="77777777" w:rsidTr="0082003C">
        <w:trPr>
          <w:trHeight w:val="1970"/>
        </w:trPr>
        <w:tc>
          <w:tcPr>
            <w:cnfStyle w:val="001000000000" w:firstRow="0" w:lastRow="0" w:firstColumn="1" w:lastColumn="0" w:oddVBand="0" w:evenVBand="0" w:oddHBand="0" w:evenHBand="0" w:firstRowFirstColumn="0" w:firstRowLastColumn="0" w:lastRowFirstColumn="0" w:lastRowLastColumn="0"/>
            <w:tcW w:w="2340" w:type="dxa"/>
          </w:tcPr>
          <w:p w14:paraId="13000996" w14:textId="77777777" w:rsidR="00760BEE" w:rsidRDefault="00000000" w:rsidP="000C606C">
            <w:pPr>
              <w:jc w:val="center"/>
            </w:pPr>
            <w:r>
              <w:t>Industry Context</w:t>
            </w:r>
          </w:p>
        </w:tc>
        <w:tc>
          <w:tcPr>
            <w:tcW w:w="2340" w:type="dxa"/>
          </w:tcPr>
          <w:p w14:paraId="037C8D92"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10 min</w:t>
            </w:r>
          </w:p>
        </w:tc>
        <w:tc>
          <w:tcPr>
            <w:tcW w:w="2340" w:type="dxa"/>
          </w:tcPr>
          <w:p w14:paraId="5C4FD7DA"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Instructor-led</w:t>
            </w:r>
          </w:p>
        </w:tc>
        <w:tc>
          <w:tcPr>
            <w:tcW w:w="3258" w:type="dxa"/>
          </w:tcPr>
          <w:p w14:paraId="7E18C0C6"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Ichhalkaranji cluster economics; job-work model mechanics; why the "Manchester of Maharashtra" is in decline. Use Exhibit 4 to anchor the technology gap.</w:t>
            </w:r>
          </w:p>
        </w:tc>
      </w:tr>
      <w:tr w:rsidR="00760BEE" w14:paraId="6FFEB3DC" w14:textId="77777777" w:rsidTr="0082003C">
        <w:trPr>
          <w:cnfStyle w:val="000000100000" w:firstRow="0" w:lastRow="0" w:firstColumn="0" w:lastColumn="0" w:oddVBand="0" w:evenVBand="0" w:oddHBand="1" w:evenHBand="0" w:firstRowFirstColumn="0" w:firstRowLastColumn="0" w:lastRowFirstColumn="0" w:lastRowLastColumn="0"/>
          <w:trHeight w:val="2510"/>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573A9B3C" w14:textId="77777777" w:rsidR="00760BEE" w:rsidRDefault="00000000" w:rsidP="000C606C">
            <w:pPr>
              <w:jc w:val="center"/>
            </w:pPr>
            <w:r>
              <w:t>Financial Diagnosis</w:t>
            </w:r>
          </w:p>
        </w:tc>
        <w:tc>
          <w:tcPr>
            <w:tcW w:w="2340" w:type="dxa"/>
            <w:shd w:val="clear" w:color="auto" w:fill="auto"/>
          </w:tcPr>
          <w:p w14:paraId="7E622C41"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20 min</w:t>
            </w:r>
          </w:p>
        </w:tc>
        <w:tc>
          <w:tcPr>
            <w:tcW w:w="2340" w:type="dxa"/>
            <w:shd w:val="clear" w:color="auto" w:fill="auto"/>
          </w:tcPr>
          <w:p w14:paraId="1748A331"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Student-led analysis (Q1)</w:t>
            </w:r>
          </w:p>
        </w:tc>
        <w:tc>
          <w:tcPr>
            <w:tcW w:w="3258" w:type="dxa"/>
            <w:shd w:val="clear" w:color="auto" w:fill="auto"/>
          </w:tcPr>
          <w:p w14:paraId="58A93FBA"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Walk through Exhibits 1, 2, and 7. Students calculate break-even volume and rate. Highlight the US$5,348/month deterioration and the tenfold rise in interest costs (US$130 to US$1,304/month).</w:t>
            </w:r>
          </w:p>
        </w:tc>
      </w:tr>
      <w:tr w:rsidR="00760BEE" w14:paraId="07A1FC22" w14:textId="77777777" w:rsidTr="0082003C">
        <w:trPr>
          <w:trHeight w:val="2240"/>
        </w:trPr>
        <w:tc>
          <w:tcPr>
            <w:cnfStyle w:val="001000000000" w:firstRow="0" w:lastRow="0" w:firstColumn="1" w:lastColumn="0" w:oddVBand="0" w:evenVBand="0" w:oddHBand="0" w:evenHBand="0" w:firstRowFirstColumn="0" w:firstRowLastColumn="0" w:lastRowFirstColumn="0" w:lastRowLastColumn="0"/>
            <w:tcW w:w="2340" w:type="dxa"/>
          </w:tcPr>
          <w:p w14:paraId="1946F157" w14:textId="77777777" w:rsidR="00760BEE" w:rsidRDefault="00000000" w:rsidP="000C606C">
            <w:pPr>
              <w:jc w:val="center"/>
            </w:pPr>
            <w:r>
              <w:t>Red Queen and Theory of Constraints</w:t>
            </w:r>
          </w:p>
        </w:tc>
        <w:tc>
          <w:tcPr>
            <w:tcW w:w="2340" w:type="dxa"/>
          </w:tcPr>
          <w:p w14:paraId="51A5582B"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15 min</w:t>
            </w:r>
          </w:p>
        </w:tc>
        <w:tc>
          <w:tcPr>
            <w:tcW w:w="2340" w:type="dxa"/>
          </w:tcPr>
          <w:p w14:paraId="4F3440FD"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Guided discussion (Q3, Q4)</w:t>
            </w:r>
          </w:p>
        </w:tc>
        <w:tc>
          <w:tcPr>
            <w:tcW w:w="3258" w:type="dxa"/>
          </w:tcPr>
          <w:p w14:paraId="22ADFBCF" w14:textId="0E0685FF"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 xml:space="preserve">Map the vicious cycle: old machines, low throughput, high per-unit cost, low wages, </w:t>
            </w:r>
            <w:r w:rsidR="0082003C">
              <w:t>labor</w:t>
            </w:r>
            <w:r>
              <w:t xml:space="preserve"> drain, lower capacity. Identify the binding constraint. Debate: is it technology or capital?</w:t>
            </w:r>
          </w:p>
        </w:tc>
      </w:tr>
      <w:tr w:rsidR="00760BEE" w14:paraId="6E05D59F" w14:textId="77777777" w:rsidTr="0082003C">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6C526636" w14:textId="77777777" w:rsidR="00760BEE" w:rsidRDefault="00000000" w:rsidP="000C606C">
            <w:pPr>
              <w:jc w:val="center"/>
            </w:pPr>
            <w:r>
              <w:t>Option Evaluation</w:t>
            </w:r>
          </w:p>
        </w:tc>
        <w:tc>
          <w:tcPr>
            <w:tcW w:w="2340" w:type="dxa"/>
            <w:shd w:val="clear" w:color="auto" w:fill="auto"/>
          </w:tcPr>
          <w:p w14:paraId="302818DC"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20 min</w:t>
            </w:r>
          </w:p>
        </w:tc>
        <w:tc>
          <w:tcPr>
            <w:tcW w:w="2340" w:type="dxa"/>
            <w:shd w:val="clear" w:color="auto" w:fill="auto"/>
          </w:tcPr>
          <w:p w14:paraId="0D4E7156"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Small-group exercise (Q2)</w:t>
            </w:r>
          </w:p>
        </w:tc>
        <w:tc>
          <w:tcPr>
            <w:tcW w:w="3258" w:type="dxa"/>
            <w:shd w:val="clear" w:color="auto" w:fill="auto"/>
          </w:tcPr>
          <w:p w14:paraId="155EB9AD"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Groups of 4–5 build a decision matrix using Exhibit 3. Each group presents its top-ranked option with supporting assumptions.</w:t>
            </w:r>
          </w:p>
        </w:tc>
      </w:tr>
      <w:tr w:rsidR="00760BEE" w14:paraId="22B4DC5D" w14:textId="77777777" w:rsidTr="0082003C">
        <w:trPr>
          <w:trHeight w:val="1619"/>
        </w:trPr>
        <w:tc>
          <w:tcPr>
            <w:cnfStyle w:val="001000000000" w:firstRow="0" w:lastRow="0" w:firstColumn="1" w:lastColumn="0" w:oddVBand="0" w:evenVBand="0" w:oddHBand="0" w:evenHBand="0" w:firstRowFirstColumn="0" w:firstRowLastColumn="0" w:lastRowFirstColumn="0" w:lastRowLastColumn="0"/>
            <w:tcW w:w="2340" w:type="dxa"/>
          </w:tcPr>
          <w:p w14:paraId="70E1224E" w14:textId="77777777" w:rsidR="00760BEE" w:rsidRDefault="00000000" w:rsidP="000C606C">
            <w:pPr>
              <w:jc w:val="center"/>
            </w:pPr>
            <w:r>
              <w:t>SEW and Stakeholder Analysis</w:t>
            </w:r>
          </w:p>
        </w:tc>
        <w:tc>
          <w:tcPr>
            <w:tcW w:w="2340" w:type="dxa"/>
          </w:tcPr>
          <w:p w14:paraId="07EDF99C"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10 min</w:t>
            </w:r>
          </w:p>
        </w:tc>
        <w:tc>
          <w:tcPr>
            <w:tcW w:w="2340" w:type="dxa"/>
          </w:tcPr>
          <w:p w14:paraId="4F8D7F1B"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Plenary discussion (Q5)</w:t>
            </w:r>
          </w:p>
        </w:tc>
        <w:tc>
          <w:tcPr>
            <w:tcW w:w="3258" w:type="dxa"/>
          </w:tcPr>
          <w:p w14:paraId="025219CF"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How does Patil's identity as a social actor change the weight assigned to Option C? Is Option B a "responsible" choice or a slow death?</w:t>
            </w:r>
          </w:p>
        </w:tc>
      </w:tr>
      <w:tr w:rsidR="00760BEE" w14:paraId="612ED213" w14:textId="77777777" w:rsidTr="0082003C">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0F769E2D" w14:textId="77777777" w:rsidR="00760BEE" w:rsidRDefault="00000000" w:rsidP="000C606C">
            <w:pPr>
              <w:jc w:val="center"/>
            </w:pPr>
            <w:r>
              <w:t>Synthesis and Debrief</w:t>
            </w:r>
          </w:p>
        </w:tc>
        <w:tc>
          <w:tcPr>
            <w:tcW w:w="2340" w:type="dxa"/>
            <w:shd w:val="clear" w:color="auto" w:fill="auto"/>
          </w:tcPr>
          <w:p w14:paraId="549EEC47"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10 min</w:t>
            </w:r>
          </w:p>
        </w:tc>
        <w:tc>
          <w:tcPr>
            <w:tcW w:w="2340" w:type="dxa"/>
            <w:shd w:val="clear" w:color="auto" w:fill="auto"/>
          </w:tcPr>
          <w:p w14:paraId="6FDB4804"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Wrap-up</w:t>
            </w:r>
          </w:p>
        </w:tc>
        <w:tc>
          <w:tcPr>
            <w:tcW w:w="3258" w:type="dxa"/>
            <w:shd w:val="clear" w:color="auto" w:fill="auto"/>
          </w:tcPr>
          <w:p w14:paraId="4A66B4B1"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Revisit the opening poll. Has anyone changed their vote? Reveal "What Happened" if desired. Bridge to next class topic.</w:t>
            </w:r>
          </w:p>
        </w:tc>
      </w:tr>
    </w:tbl>
    <w:p w14:paraId="104FE2AF" w14:textId="77777777" w:rsidR="0011369D" w:rsidRPr="0011369D" w:rsidRDefault="0011369D" w:rsidP="0011369D">
      <w:pPr>
        <w:pStyle w:val="Heading3"/>
        <w:spacing w:before="360" w:after="240"/>
        <w:rPr>
          <w:rFonts w:cs="Segoe UI"/>
          <w:b/>
          <w:bCs/>
          <w:color w:val="000000" w:themeColor="text1"/>
          <w:sz w:val="24"/>
          <w:szCs w:val="24"/>
          <w:u w:val="single"/>
        </w:rPr>
      </w:pPr>
      <w:r w:rsidRPr="0011369D">
        <w:rPr>
          <w:rFonts w:cs="Segoe UI"/>
          <w:b/>
          <w:bCs/>
          <w:color w:val="000000" w:themeColor="text1"/>
          <w:sz w:val="24"/>
          <w:szCs w:val="24"/>
          <w:u w:val="single"/>
        </w:rPr>
        <w:lastRenderedPageBreak/>
        <w:t>Online / Hybrid Adaptation</w:t>
      </w:r>
    </w:p>
    <w:p w14:paraId="63B8052D" w14:textId="77777777" w:rsidR="0011369D" w:rsidRPr="0011369D" w:rsidRDefault="0011369D" w:rsidP="0011369D">
      <w:pPr>
        <w:pStyle w:val="code-line"/>
        <w:spacing w:before="0" w:beforeAutospacing="0" w:after="240" w:afterAutospacing="0"/>
        <w:rPr>
          <w:rFonts w:asciiTheme="minorHAnsi" w:hAnsiTheme="minorHAnsi" w:cs="Segoe UI"/>
          <w:color w:val="000000" w:themeColor="text1"/>
          <w:sz w:val="21"/>
          <w:szCs w:val="21"/>
        </w:rPr>
      </w:pPr>
      <w:r w:rsidRPr="0011369D">
        <w:rPr>
          <w:rFonts w:asciiTheme="minorHAnsi" w:hAnsiTheme="minorHAnsi" w:cs="Segoe UI"/>
          <w:color w:val="000000" w:themeColor="text1"/>
          <w:sz w:val="21"/>
          <w:szCs w:val="21"/>
        </w:rPr>
        <w:t>For online delivery, the following modifications are recommended:</w:t>
      </w:r>
    </w:p>
    <w:p w14:paraId="25AB72A1" w14:textId="77777777" w:rsidR="0011369D" w:rsidRPr="0011369D" w:rsidRDefault="0011369D" w:rsidP="0011369D">
      <w:pPr>
        <w:pStyle w:val="code-line"/>
        <w:numPr>
          <w:ilvl w:val="0"/>
          <w:numId w:val="3"/>
        </w:numPr>
        <w:rPr>
          <w:rFonts w:asciiTheme="minorHAnsi" w:hAnsiTheme="minorHAnsi" w:cs="Segoe UI"/>
          <w:color w:val="000000" w:themeColor="text1"/>
          <w:sz w:val="21"/>
          <w:szCs w:val="21"/>
        </w:rPr>
      </w:pPr>
      <w:r w:rsidRPr="0011369D">
        <w:rPr>
          <w:rStyle w:val="Strong"/>
          <w:rFonts w:asciiTheme="minorHAnsi" w:hAnsiTheme="minorHAnsi" w:cs="Segoe UI"/>
          <w:color w:val="000000" w:themeColor="text1"/>
          <w:sz w:val="21"/>
          <w:szCs w:val="21"/>
        </w:rPr>
        <w:t>Opening poll</w:t>
      </w:r>
      <w:r w:rsidRPr="0011369D">
        <w:rPr>
          <w:rFonts w:asciiTheme="minorHAnsi" w:hAnsiTheme="minorHAnsi" w:cs="Segoe UI"/>
          <w:color w:val="000000" w:themeColor="text1"/>
          <w:sz w:val="21"/>
          <w:szCs w:val="21"/>
        </w:rPr>
        <w:t>: Use a live polling tool (Mentimeter, Slido, or Zoom poll) to capture the initial Option A/B/C split. Display results in real time.</w:t>
      </w:r>
    </w:p>
    <w:p w14:paraId="3D5957D1" w14:textId="77777777" w:rsidR="0011369D" w:rsidRPr="0011369D" w:rsidRDefault="0011369D" w:rsidP="0011369D">
      <w:pPr>
        <w:pStyle w:val="code-line"/>
        <w:numPr>
          <w:ilvl w:val="0"/>
          <w:numId w:val="3"/>
        </w:numPr>
        <w:rPr>
          <w:rFonts w:asciiTheme="minorHAnsi" w:hAnsiTheme="minorHAnsi" w:cs="Segoe UI"/>
          <w:color w:val="000000" w:themeColor="text1"/>
          <w:sz w:val="21"/>
          <w:szCs w:val="21"/>
        </w:rPr>
      </w:pPr>
      <w:r w:rsidRPr="0011369D">
        <w:rPr>
          <w:rStyle w:val="Strong"/>
          <w:rFonts w:asciiTheme="minorHAnsi" w:hAnsiTheme="minorHAnsi" w:cs="Segoe UI"/>
          <w:color w:val="000000" w:themeColor="text1"/>
          <w:sz w:val="21"/>
          <w:szCs w:val="21"/>
        </w:rPr>
        <w:t>Small-group exercise</w:t>
      </w:r>
      <w:r w:rsidRPr="0011369D">
        <w:rPr>
          <w:rFonts w:asciiTheme="minorHAnsi" w:hAnsiTheme="minorHAnsi" w:cs="Segoe UI"/>
          <w:color w:val="000000" w:themeColor="text1"/>
          <w:sz w:val="21"/>
          <w:szCs w:val="21"/>
        </w:rPr>
        <w:t>: Use breakout rooms (4–5 students each) for the 20-minute option evaluation. Each group submits its decision matrix via a shared Google Sheet or Jamboard.</w:t>
      </w:r>
    </w:p>
    <w:p w14:paraId="278AB1C9" w14:textId="77777777" w:rsidR="0011369D" w:rsidRPr="0011369D" w:rsidRDefault="0011369D" w:rsidP="0011369D">
      <w:pPr>
        <w:pStyle w:val="code-line"/>
        <w:numPr>
          <w:ilvl w:val="0"/>
          <w:numId w:val="3"/>
        </w:numPr>
        <w:rPr>
          <w:rFonts w:asciiTheme="minorHAnsi" w:hAnsiTheme="minorHAnsi" w:cs="Segoe UI"/>
          <w:color w:val="000000" w:themeColor="text1"/>
          <w:sz w:val="21"/>
          <w:szCs w:val="21"/>
        </w:rPr>
      </w:pPr>
      <w:r w:rsidRPr="0011369D">
        <w:rPr>
          <w:rStyle w:val="Strong"/>
          <w:rFonts w:asciiTheme="minorHAnsi" w:hAnsiTheme="minorHAnsi" w:cs="Segoe UI"/>
          <w:color w:val="000000" w:themeColor="text1"/>
          <w:sz w:val="21"/>
          <w:szCs w:val="21"/>
        </w:rPr>
        <w:t>Board plan</w:t>
      </w:r>
      <w:r w:rsidRPr="0011369D">
        <w:rPr>
          <w:rFonts w:asciiTheme="minorHAnsi" w:hAnsiTheme="minorHAnsi" w:cs="Segoe UI"/>
          <w:color w:val="000000" w:themeColor="text1"/>
          <w:sz w:val="21"/>
          <w:szCs w:val="21"/>
        </w:rPr>
        <w:t>: Replace the physical board with a shared Miro or Google Slides template pre-formatted with the three-panel structure. Students populate it collaboratively.</w:t>
      </w:r>
    </w:p>
    <w:p w14:paraId="7C36DCAE" w14:textId="16C0F748" w:rsidR="0011369D" w:rsidRPr="0011369D" w:rsidRDefault="0011369D" w:rsidP="001B38D1">
      <w:pPr>
        <w:pStyle w:val="code-line"/>
        <w:numPr>
          <w:ilvl w:val="0"/>
          <w:numId w:val="3"/>
        </w:numPr>
        <w:rPr>
          <w:rFonts w:asciiTheme="minorHAnsi" w:hAnsiTheme="minorHAnsi" w:cs="Segoe UI"/>
          <w:color w:val="000000" w:themeColor="text1"/>
          <w:sz w:val="21"/>
          <w:szCs w:val="21"/>
        </w:rPr>
      </w:pPr>
      <w:r w:rsidRPr="0011369D">
        <w:rPr>
          <w:rStyle w:val="Strong"/>
          <w:rFonts w:asciiTheme="minorHAnsi" w:hAnsiTheme="minorHAnsi" w:cs="Segoe UI"/>
          <w:color w:val="000000" w:themeColor="text1"/>
          <w:sz w:val="21"/>
          <w:szCs w:val="21"/>
        </w:rPr>
        <w:t>Debrief poll</w:t>
      </w:r>
      <w:r w:rsidRPr="0011369D">
        <w:rPr>
          <w:rFonts w:asciiTheme="minorHAnsi" w:hAnsiTheme="minorHAnsi" w:cs="Segoe UI"/>
          <w:color w:val="000000" w:themeColor="text1"/>
          <w:sz w:val="21"/>
          <w:szCs w:val="21"/>
        </w:rPr>
        <w:t>: Re-run the A/B/C poll at the end to visualize opinion shifts.</w:t>
      </w:r>
    </w:p>
    <w:p w14:paraId="42C2999D" w14:textId="24B62F07" w:rsidR="001B38D1" w:rsidRDefault="001B38D1" w:rsidP="001B38D1">
      <w:pPr>
        <w:pStyle w:val="Heading2"/>
      </w:pPr>
      <w:r>
        <w:t>Board Plan</w:t>
      </w:r>
    </w:p>
    <w:p w14:paraId="08EB9819" w14:textId="0C0B037E" w:rsidR="001B38D1" w:rsidRDefault="001B38D1" w:rsidP="0011369D">
      <w:pPr>
        <w:pStyle w:val="NormalWeb"/>
        <w:spacing w:before="0" w:beforeAutospacing="0" w:after="240" w:afterAutospacing="0"/>
        <w:rPr>
          <w:color w:val="000000"/>
        </w:rPr>
      </w:pPr>
      <w:r>
        <w:rPr>
          <w:rFonts w:ascii="Arial" w:hAnsi="Arial" w:cs="Arial"/>
          <w:color w:val="000000"/>
          <w:sz w:val="21"/>
          <w:szCs w:val="21"/>
        </w:rPr>
        <w:t>The board should be divided into three panels:</w:t>
      </w:r>
    </w:p>
    <w:p w14:paraId="51369BCC" w14:textId="2EDF5BA6" w:rsidR="001B38D1" w:rsidRDefault="001B38D1" w:rsidP="001B38D1">
      <w:pPr>
        <w:pStyle w:val="NormalWeb"/>
        <w:spacing w:before="0" w:beforeAutospacing="0" w:after="240" w:afterAutospacing="0"/>
        <w:rPr>
          <w:color w:val="000000"/>
        </w:rPr>
      </w:pPr>
      <w:r>
        <w:rPr>
          <w:rFonts w:ascii="Arial" w:hAnsi="Arial" w:cs="Arial"/>
          <w:color w:val="000000"/>
          <w:sz w:val="21"/>
          <w:szCs w:val="21"/>
        </w:rPr>
        <w:t>The decision flow arrows would be:</w:t>
      </w:r>
    </w:p>
    <w:p w14:paraId="6F9B1603" w14:textId="28C56F91" w:rsidR="001B38D1" w:rsidRPr="001B38D1" w:rsidRDefault="001B38D1" w:rsidP="001B38D1">
      <w:pPr>
        <w:pStyle w:val="NormalWeb"/>
        <w:spacing w:before="0" w:beforeAutospacing="0" w:after="240" w:afterAutospacing="0"/>
        <w:rPr>
          <w:color w:val="000000"/>
        </w:rPr>
      </w:pPr>
      <w:r>
        <w:rPr>
          <w:rFonts w:ascii="Arial" w:hAnsi="Arial" w:cs="Arial"/>
          <w:color w:val="000000"/>
          <w:sz w:val="21"/>
          <w:szCs w:val="21"/>
        </w:rPr>
        <w:br/>
      </w:r>
      <w:r w:rsidR="004723A0" w:rsidRPr="004723A0">
        <w:rPr>
          <w:rFonts w:ascii="Arial" w:hAnsi="Arial" w:cs="Arial"/>
          <w:noProof/>
          <w:color w:val="000000"/>
          <w:sz w:val="21"/>
          <w:szCs w:val="21"/>
          <w:bdr w:val="none" w:sz="0" w:space="0" w:color="auto" w:frame="1"/>
        </w:rPr>
        <w:pict w14:anchorId="7B359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63pt;visibility:visible;mso-wrap-style:square">
            <v:imagedata r:id="rId7" o:title=""/>
            <o:lock v:ext="edit" rotation="t" cropping="t" verticies="t"/>
          </v:shape>
        </w:pict>
      </w:r>
    </w:p>
    <w:p w14:paraId="1011F9D1" w14:textId="23C8F63C" w:rsidR="00760BEE" w:rsidRDefault="00000000">
      <w:pPr>
        <w:pStyle w:val="Heading2"/>
      </w:pPr>
      <w:r>
        <w:t>Analysis</w:t>
      </w:r>
    </w:p>
    <w:p w14:paraId="1CA97DB3" w14:textId="12EC93AB" w:rsidR="000C606C" w:rsidRDefault="00000000" w:rsidP="000C606C">
      <w:pPr>
        <w:pStyle w:val="BodyText"/>
      </w:pPr>
      <w:r>
        <w:rPr>
          <w:b/>
        </w:rPr>
        <w:t xml:space="preserve">Question 1: </w:t>
      </w:r>
    </w:p>
    <w:p w14:paraId="2D480D67" w14:textId="5DE7AD6A" w:rsidR="00760BEE" w:rsidRPr="000C606C" w:rsidRDefault="00000000">
      <w:pPr>
        <w:pStyle w:val="BodyText"/>
        <w:rPr>
          <w:b/>
          <w:bCs/>
          <w:i/>
          <w:iCs/>
        </w:rPr>
      </w:pPr>
      <w:r w:rsidRPr="000C606C">
        <w:rPr>
          <w:b/>
          <w:bCs/>
          <w:i/>
          <w:iCs/>
        </w:rPr>
        <w:t>Using the data in Exhibits 1, 2, and 7, construct a break-even analysis for Sai Tex under the current job-work model. At what monthly production volume (in metres) does Sai Tex break even at the 2025 cost structure? What job-work rate (paisa per pick) would Sai Tex need to break even at its current average production volume?</w:t>
      </w:r>
    </w:p>
    <w:p w14:paraId="4036E5EF" w14:textId="77777777" w:rsidR="00760BEE" w:rsidRDefault="00000000">
      <w:pPr>
        <w:pStyle w:val="BodyText"/>
      </w:pPr>
      <w:r>
        <w:t>The first step is to separate Sai Tex's fixed and variable costs using Exhibit 7 data.</w:t>
      </w:r>
    </w:p>
    <w:p w14:paraId="151FE089" w14:textId="36352E30" w:rsidR="00760BEE" w:rsidRDefault="00000000">
      <w:pPr>
        <w:pStyle w:val="BodyText"/>
      </w:pPr>
      <w:r>
        <w:t xml:space="preserve">Fixed costs per month add up as follows: bank interest at US$1,304, base </w:t>
      </w:r>
      <w:r w:rsidR="0082003C">
        <w:t>labor</w:t>
      </w:r>
      <w:r>
        <w:t xml:space="preserve"> payroll at US$2,184, spare parts and mill store at US$130, and other expenses at US$54. That gives a total of roughly US$3,673 per month (INR 337,900). These costs do not change with production volume in the short run. Patil pays them whether the looms run or not.</w:t>
      </w:r>
    </w:p>
    <w:p w14:paraId="02F5B207" w14:textId="77777777" w:rsidR="00760BEE" w:rsidRDefault="00000000">
      <w:pPr>
        <w:pStyle w:val="BodyText"/>
      </w:pPr>
      <w:r>
        <w:lastRenderedPageBreak/>
        <w:t>Variable costs are primarily power and transport. Scaled to per-metre terms, these come to about US$0.017 per metre (INR 1.56).</w:t>
      </w:r>
    </w:p>
    <w:p w14:paraId="26BB6A3F" w14:textId="161034A9" w:rsidR="00760BEE" w:rsidRDefault="00000000">
      <w:pPr>
        <w:pStyle w:val="BodyText"/>
      </w:pPr>
      <w:r>
        <w:t xml:space="preserve">At the 2025 average </w:t>
      </w:r>
      <w:r w:rsidR="0082003C">
        <w:t>realized</w:t>
      </w:r>
      <w:r>
        <w:t xml:space="preserve"> rate of US$0.088 per metre, or INR 8.07 (from Exhibit 2, full-year average), the contribution margin per metre is US$0.088 minus US$0.017, which gives US$0.071 (INR 6.51).</w:t>
      </w:r>
    </w:p>
    <w:p w14:paraId="7EE7B319" w14:textId="77777777" w:rsidR="00760BEE" w:rsidRDefault="00000000">
      <w:pPr>
        <w:pStyle w:val="BodyText"/>
      </w:pPr>
      <w:r>
        <w:t>The break-even volume is then US$3,673 divided by US$0.071, which works out to approximately 51,900 metres per month.</w:t>
      </w:r>
    </w:p>
    <w:p w14:paraId="19CED07A" w14:textId="77777777" w:rsidR="00760BEE" w:rsidRDefault="00000000">
      <w:pPr>
        <w:pStyle w:val="BodyText"/>
      </w:pPr>
      <w:r>
        <w:t>This figure exceeds Sai Tex's peak single-shift production in 2025, which reached only 45,000 metres (January and August, per Exhibit 2). The break-even volume surpasses the unit's maximum observed output by nearly 7,000 metres. At the current cost structure and rate, Sai Tex cannot break even under any achievable production scenario. The gap is structural, not marginal.</w:t>
      </w:r>
    </w:p>
    <w:p w14:paraId="2E209EAE" w14:textId="77777777" w:rsidR="00760BEE" w:rsidRDefault="00000000">
      <w:pPr>
        <w:pStyle w:val="BodyText"/>
      </w:pPr>
      <w:r>
        <w:t>The break-even rate calculation confirms this from the other direction. At the 2025 average production of about 37,800 metres per month (454,000 total divided by 12), total cost works out to US$3,673 plus (US$0.017 × 37,800) = US$4,316 (INR 396,868). Dividing by 37,800 metres gives a required rate of US$0.114 per metre (INR 10.50), or roughly 22 paisa per pick at the average 47 picks/cm density.</w:t>
      </w:r>
    </w:p>
    <w:p w14:paraId="34744231" w14:textId="77777777" w:rsidR="00760BEE" w:rsidRDefault="00000000">
      <w:pPr>
        <w:pStyle w:val="BodyText"/>
      </w:pPr>
      <w:r>
        <w:t>The 2023 rate was 25 paisa per pick. By 2025, it averaged 17.5 paisa. Sai Tex would need a 26 per cent rate recovery from 2025 levels to break even, and the case offers no evidence that such a recovery is forthcoming. The domestic market remains flooded with surplus fabric from export-oriented units that lost their US market.</w:t>
      </w:r>
    </w:p>
    <w:p w14:paraId="6B1C287E" w14:textId="77777777" w:rsidR="00760BEE" w:rsidRDefault="00000000">
      <w:pPr>
        <w:pStyle w:val="BodyText"/>
      </w:pPr>
      <w:r>
        <w:t>The preceding analysis establishes that Sai Tex's problem is not cyclical. It is not a temporary rate dip that will correct itself. The cost base has permanently outgrown the revenue capacity of the current technology. This is the quantitative foundation for the Red Queen argument in Question 3.</w:t>
      </w:r>
    </w:p>
    <w:p w14:paraId="324A49AF" w14:textId="5063DB3E" w:rsidR="000C606C" w:rsidRDefault="00000000" w:rsidP="000C606C">
      <w:pPr>
        <w:pStyle w:val="BodyText"/>
      </w:pPr>
      <w:r>
        <w:rPr>
          <w:b/>
        </w:rPr>
        <w:t xml:space="preserve">Question 2: </w:t>
      </w:r>
    </w:p>
    <w:p w14:paraId="66F9853B" w14:textId="18E9C4B7" w:rsidR="00760BEE" w:rsidRPr="000C606C" w:rsidRDefault="00000000">
      <w:pPr>
        <w:pStyle w:val="BodyText"/>
        <w:rPr>
          <w:b/>
          <w:bCs/>
          <w:i/>
          <w:iCs/>
        </w:rPr>
      </w:pPr>
      <w:r w:rsidRPr="000C606C">
        <w:rPr>
          <w:b/>
          <w:bCs/>
          <w:i/>
          <w:iCs/>
        </w:rPr>
        <w:t>Evaluate the three strategic options (Exhibit 3) using a decision matrix that weighs financial viability, operational risk, stakeholder impact, and strategic positioning. Which option would you recommend, and under what assumptions does your recommendation hold?</w:t>
      </w:r>
    </w:p>
    <w:p w14:paraId="0D790D4A" w14:textId="77777777" w:rsidR="00760BEE" w:rsidRDefault="00000000">
      <w:pPr>
        <w:pStyle w:val="BodyText"/>
      </w:pPr>
      <w:r>
        <w:t>A decision matrix with four criteria provides a structured approach to this evaluation: financial viability, operational risk, stakeholder impact, and strategic positioning. The weights below are suggestive. Part of the exercise is having students argue for their own weighting.</w:t>
      </w:r>
    </w:p>
    <w:tbl>
      <w:tblPr>
        <w:tblStyle w:val="PlainTable1"/>
        <w:tblW w:w="0" w:type="auto"/>
        <w:tblLook w:val="04A0" w:firstRow="1" w:lastRow="0" w:firstColumn="1" w:lastColumn="0" w:noHBand="0" w:noVBand="1"/>
      </w:tblPr>
      <w:tblGrid>
        <w:gridCol w:w="2340"/>
        <w:gridCol w:w="2340"/>
        <w:gridCol w:w="2340"/>
        <w:gridCol w:w="2340"/>
      </w:tblGrid>
      <w:tr w:rsidR="00760BEE" w14:paraId="185AE30F" w14:textId="77777777" w:rsidTr="001B38D1">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2340" w:type="dxa"/>
            <w:shd w:val="clear" w:color="auto" w:fill="C1F0C7" w:themeFill="accent3" w:themeFillTint="33"/>
          </w:tcPr>
          <w:p w14:paraId="77FF9616" w14:textId="77777777" w:rsidR="00760BEE" w:rsidRDefault="00000000" w:rsidP="000C606C">
            <w:pPr>
              <w:jc w:val="center"/>
            </w:pPr>
            <w:r>
              <w:t>Criterion (suggested weight)</w:t>
            </w:r>
          </w:p>
        </w:tc>
        <w:tc>
          <w:tcPr>
            <w:tcW w:w="2340" w:type="dxa"/>
            <w:shd w:val="clear" w:color="auto" w:fill="C1F0C7" w:themeFill="accent3" w:themeFillTint="33"/>
          </w:tcPr>
          <w:p w14:paraId="232DD1C4"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Option A: Green Pivot</w:t>
            </w:r>
          </w:p>
        </w:tc>
        <w:tc>
          <w:tcPr>
            <w:tcW w:w="2340" w:type="dxa"/>
            <w:shd w:val="clear" w:color="auto" w:fill="C1F0C7" w:themeFill="accent3" w:themeFillTint="33"/>
          </w:tcPr>
          <w:p w14:paraId="2FD504C6"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Option B: Hybrid Lean</w:t>
            </w:r>
          </w:p>
        </w:tc>
        <w:tc>
          <w:tcPr>
            <w:tcW w:w="2340" w:type="dxa"/>
            <w:shd w:val="clear" w:color="auto" w:fill="C1F0C7" w:themeFill="accent3" w:themeFillTint="33"/>
          </w:tcPr>
          <w:p w14:paraId="1A24FF17" w14:textId="77777777" w:rsidR="00760BEE" w:rsidRDefault="00000000" w:rsidP="000C606C">
            <w:pPr>
              <w:jc w:val="center"/>
              <w:cnfStyle w:val="100000000000" w:firstRow="1" w:lastRow="0" w:firstColumn="0" w:lastColumn="0" w:oddVBand="0" w:evenVBand="0" w:oddHBand="0" w:evenHBand="0" w:firstRowFirstColumn="0" w:firstRowLastColumn="0" w:lastRowFirstColumn="0" w:lastRowLastColumn="0"/>
            </w:pPr>
            <w:r>
              <w:t>Option C: Exit</w:t>
            </w:r>
          </w:p>
        </w:tc>
      </w:tr>
      <w:tr w:rsidR="00760BEE" w14:paraId="14C03158" w14:textId="77777777" w:rsidTr="000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71C577C9" w14:textId="77777777" w:rsidR="00760BEE" w:rsidRDefault="00000000" w:rsidP="000C606C">
            <w:pPr>
              <w:jc w:val="center"/>
            </w:pPr>
            <w:r>
              <w:t xml:space="preserve">Financial viability </w:t>
            </w:r>
            <w:r>
              <w:lastRenderedPageBreak/>
              <w:t>(30%)</w:t>
            </w:r>
          </w:p>
        </w:tc>
        <w:tc>
          <w:tcPr>
            <w:tcW w:w="2340" w:type="dxa"/>
            <w:shd w:val="clear" w:color="auto" w:fill="auto"/>
          </w:tcPr>
          <w:p w14:paraId="3F9142D8"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lastRenderedPageBreak/>
              <w:t xml:space="preserve">High upside </w:t>
            </w:r>
            <w:r>
              <w:lastRenderedPageBreak/>
              <w:t>(US$10,870–16,304/month net profit) but extreme downside risk. Total debt reaches US$603,261 at 14%.</w:t>
            </w:r>
          </w:p>
        </w:tc>
        <w:tc>
          <w:tcPr>
            <w:tcW w:w="2340" w:type="dxa"/>
            <w:shd w:val="clear" w:color="auto" w:fill="auto"/>
          </w:tcPr>
          <w:p w14:paraId="42BE36CE"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lastRenderedPageBreak/>
              <w:t xml:space="preserve">Does not reach </w:t>
            </w:r>
            <w:r>
              <w:lastRenderedPageBreak/>
              <w:t>break-even. Slows the bleed but does not stop it.</w:t>
            </w:r>
          </w:p>
        </w:tc>
        <w:tc>
          <w:tcPr>
            <w:tcW w:w="2340" w:type="dxa"/>
            <w:shd w:val="clear" w:color="auto" w:fill="auto"/>
          </w:tcPr>
          <w:p w14:paraId="16494A9D"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lastRenderedPageBreak/>
              <w:t xml:space="preserve">Stops losses </w:t>
            </w:r>
            <w:r>
              <w:lastRenderedPageBreak/>
              <w:t>immediately. US$108,696 residual debt remains.</w:t>
            </w:r>
          </w:p>
        </w:tc>
      </w:tr>
      <w:tr w:rsidR="00760BEE" w14:paraId="6B3D3645" w14:textId="77777777" w:rsidTr="000C606C">
        <w:tc>
          <w:tcPr>
            <w:cnfStyle w:val="001000000000" w:firstRow="0" w:lastRow="0" w:firstColumn="1" w:lastColumn="0" w:oddVBand="0" w:evenVBand="0" w:oddHBand="0" w:evenHBand="0" w:firstRowFirstColumn="0" w:firstRowLastColumn="0" w:lastRowFirstColumn="0" w:lastRowLastColumn="0"/>
            <w:tcW w:w="2340" w:type="dxa"/>
          </w:tcPr>
          <w:p w14:paraId="2C31BB50" w14:textId="77777777" w:rsidR="00760BEE" w:rsidRDefault="00000000" w:rsidP="000C606C">
            <w:pPr>
              <w:jc w:val="center"/>
            </w:pPr>
            <w:r>
              <w:lastRenderedPageBreak/>
              <w:t>Operational risk (25%)</w:t>
            </w:r>
          </w:p>
        </w:tc>
        <w:tc>
          <w:tcPr>
            <w:tcW w:w="2340" w:type="dxa"/>
          </w:tcPr>
          <w:p w14:paraId="0AEBA456" w14:textId="1615F956"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 xml:space="preserve">High. Assumes full capacity from day one, </w:t>
            </w:r>
            <w:r w:rsidR="00A060D2">
              <w:t>labor</w:t>
            </w:r>
            <w:r>
              <w:t xml:space="preserve"> returns, market holds, subsidy arrives on time.</w:t>
            </w:r>
          </w:p>
        </w:tc>
        <w:tc>
          <w:tcPr>
            <w:tcW w:w="2340" w:type="dxa"/>
          </w:tcPr>
          <w:p w14:paraId="0D0C3A88"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Low. Proven technology, incremental change, no production shutdown.</w:t>
            </w:r>
          </w:p>
        </w:tc>
        <w:tc>
          <w:tcPr>
            <w:tcW w:w="2340" w:type="dxa"/>
          </w:tcPr>
          <w:p w14:paraId="292E2B3B"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None. Operations cease.</w:t>
            </w:r>
          </w:p>
        </w:tc>
      </w:tr>
      <w:tr w:rsidR="00760BEE" w14:paraId="62564D7A" w14:textId="77777777" w:rsidTr="000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2657EBFB" w14:textId="77777777" w:rsidR="00760BEE" w:rsidRDefault="00000000" w:rsidP="000C606C">
            <w:pPr>
              <w:jc w:val="center"/>
            </w:pPr>
            <w:r>
              <w:t>Stakeholder impact (25%)</w:t>
            </w:r>
          </w:p>
        </w:tc>
        <w:tc>
          <w:tcPr>
            <w:tcW w:w="2340" w:type="dxa"/>
            <w:shd w:val="clear" w:color="auto" w:fill="auto"/>
          </w:tcPr>
          <w:p w14:paraId="1604B9DA"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Positive if successful: retains and attracts workers, transforms community standing.</w:t>
            </w:r>
          </w:p>
        </w:tc>
        <w:tc>
          <w:tcPr>
            <w:tcW w:w="2340" w:type="dxa"/>
            <w:shd w:val="clear" w:color="auto" w:fill="auto"/>
          </w:tcPr>
          <w:p w14:paraId="4E5AA67A"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Neutral to negative: workers continue to leave, slow decline.</w:t>
            </w:r>
          </w:p>
        </w:tc>
        <w:tc>
          <w:tcPr>
            <w:tcW w:w="2340" w:type="dxa"/>
            <w:shd w:val="clear" w:color="auto" w:fill="auto"/>
          </w:tcPr>
          <w:p w14:paraId="06B17EB3" w14:textId="77777777" w:rsidR="00760BEE" w:rsidRDefault="00000000" w:rsidP="000C606C">
            <w:pPr>
              <w:jc w:val="center"/>
              <w:cnfStyle w:val="000000100000" w:firstRow="0" w:lastRow="0" w:firstColumn="0" w:lastColumn="0" w:oddVBand="0" w:evenVBand="0" w:oddHBand="1" w:evenHBand="0" w:firstRowFirstColumn="0" w:firstRowLastColumn="0" w:lastRowFirstColumn="0" w:lastRowLastColumn="0"/>
            </w:pPr>
            <w:r>
              <w:t>Highly negative: 12+ permanent workers displaced, community loss.</w:t>
            </w:r>
          </w:p>
        </w:tc>
      </w:tr>
      <w:tr w:rsidR="00760BEE" w14:paraId="3551CA29" w14:textId="77777777" w:rsidTr="000C606C">
        <w:tc>
          <w:tcPr>
            <w:cnfStyle w:val="001000000000" w:firstRow="0" w:lastRow="0" w:firstColumn="1" w:lastColumn="0" w:oddVBand="0" w:evenVBand="0" w:oddHBand="0" w:evenHBand="0" w:firstRowFirstColumn="0" w:firstRowLastColumn="0" w:lastRowFirstColumn="0" w:lastRowLastColumn="0"/>
            <w:tcW w:w="2340" w:type="dxa"/>
          </w:tcPr>
          <w:p w14:paraId="23E720DB" w14:textId="77777777" w:rsidR="00760BEE" w:rsidRDefault="00000000" w:rsidP="000C606C">
            <w:pPr>
              <w:jc w:val="center"/>
            </w:pPr>
            <w:r>
              <w:t>Strategic positioning (20%)</w:t>
            </w:r>
          </w:p>
        </w:tc>
        <w:tc>
          <w:tcPr>
            <w:tcW w:w="2340" w:type="dxa"/>
          </w:tcPr>
          <w:p w14:paraId="74E43BBC"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Strong. Matches competitors, enables sale-purchase pivot, energy independence.</w:t>
            </w:r>
          </w:p>
        </w:tc>
        <w:tc>
          <w:tcPr>
            <w:tcW w:w="2340" w:type="dxa"/>
          </w:tcPr>
          <w:p w14:paraId="72D494C1"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Weak. Remains in the commodity trap with obsolete technology.</w:t>
            </w:r>
          </w:p>
        </w:tc>
        <w:tc>
          <w:tcPr>
            <w:tcW w:w="2340" w:type="dxa"/>
          </w:tcPr>
          <w:p w14:paraId="605B9AE2" w14:textId="77777777" w:rsidR="00760BEE" w:rsidRDefault="00000000" w:rsidP="000C606C">
            <w:pPr>
              <w:jc w:val="center"/>
              <w:cnfStyle w:val="000000000000" w:firstRow="0" w:lastRow="0" w:firstColumn="0" w:lastColumn="0" w:oddVBand="0" w:evenVBand="0" w:oddHBand="0" w:evenHBand="0" w:firstRowFirstColumn="0" w:firstRowLastColumn="0" w:lastRowFirstColumn="0" w:lastRowLastColumn="0"/>
            </w:pPr>
            <w:r>
              <w:t>None. Exits the industry.</w:t>
            </w:r>
          </w:p>
        </w:tc>
      </w:tr>
    </w:tbl>
    <w:p w14:paraId="1DC55C9D" w14:textId="77777777" w:rsidR="00760BEE" w:rsidRDefault="00000000">
      <w:pPr>
        <w:pStyle w:val="BodyText"/>
      </w:pPr>
      <w:r>
        <w:t>The class will likely split into three camps.</w:t>
      </w:r>
    </w:p>
    <w:p w14:paraId="377EC515" w14:textId="159256C7" w:rsidR="00760BEE" w:rsidRDefault="00000000">
      <w:pPr>
        <w:pStyle w:val="BodyText"/>
      </w:pPr>
      <w:r>
        <w:t xml:space="preserve">Those </w:t>
      </w:r>
      <w:r w:rsidR="0082003C">
        <w:t>favoring</w:t>
      </w:r>
      <w:r>
        <w:t xml:space="preserve"> Option A will point to the break-even analysis from Q1 as proof that incremental measures cannot save Sai Tex. The only path to viability is a step-change in capacity and business model. The MAHA-TUFS subsidy (up to 25%) and solar energy independence reduce the effective risk. Two competitors in the same Park have already succeeded with this path.</w:t>
      </w:r>
    </w:p>
    <w:p w14:paraId="155B8C80" w14:textId="6CDE84C8" w:rsidR="00760BEE" w:rsidRDefault="00000000">
      <w:pPr>
        <w:pStyle w:val="BodyText"/>
      </w:pPr>
      <w:r>
        <w:t xml:space="preserve">Those </w:t>
      </w:r>
      <w:r w:rsidR="0082003C">
        <w:t>favoring</w:t>
      </w:r>
      <w:r>
        <w:t xml:space="preserve"> Option B will counter that Option A's assumptions are heroic. Full capacity from day one? Stable domestic market? Timely subsidy disbursement? </w:t>
      </w:r>
      <w:r w:rsidR="0082003C">
        <w:t>Labor</w:t>
      </w:r>
      <w:r>
        <w:t xml:space="preserve"> returning to a unit still under construction? Option B preserves optionality. It buys 2–3 years during which market conditions may improve, subsidy access may become easier, or Patil may accumulate savings toward a future upgrade without risking the family home.</w:t>
      </w:r>
    </w:p>
    <w:p w14:paraId="7429C41E" w14:textId="77777777" w:rsidR="00760BEE" w:rsidRDefault="00000000">
      <w:pPr>
        <w:pStyle w:val="BodyText"/>
      </w:pPr>
      <w:r>
        <w:t>A smaller group will argue for Option C. The US$21,739 resale value against US$130,435 in debt means Patil is already deeply underwater. Adding US$472,826 of new debt at 14 per cent in a declining market is a gamble, not a strategy. Preserving the family's remaining assets is the responsible choice.</w:t>
      </w:r>
    </w:p>
    <w:p w14:paraId="0155A6E4" w14:textId="4D456573" w:rsidR="00760BEE" w:rsidRDefault="00000000">
      <w:pPr>
        <w:pStyle w:val="BodyText"/>
      </w:pPr>
      <w:r>
        <w:lastRenderedPageBreak/>
        <w:t xml:space="preserve">The key point to draw out: Option A's attractiveness depends on four assumptions holding simultaneously. The domestic fabric market must hold. The MAHA-TUFS subsidy must be disbursed on time. The air-jet looms must run at capacity from day one. And migrant workers must return. If </w:t>
      </w:r>
      <w:r w:rsidR="0082003C">
        <w:t>any one</w:t>
      </w:r>
      <w:r>
        <w:t xml:space="preserve"> fails, the interest on US$603,261 at 14 per cent consumes the family home. The case is deliberately designed so that no option is clearly dominant. The "right" answer depends on the student's risk tolerance, discount rate, and weighting of non-financial factors.</w:t>
      </w:r>
    </w:p>
    <w:p w14:paraId="4DF03332" w14:textId="26365884" w:rsidR="000C606C" w:rsidRDefault="00000000" w:rsidP="000C606C">
      <w:pPr>
        <w:pStyle w:val="BodyText"/>
      </w:pPr>
      <w:r>
        <w:rPr>
          <w:b/>
        </w:rPr>
        <w:t xml:space="preserve">Question 3: </w:t>
      </w:r>
    </w:p>
    <w:p w14:paraId="12E8F21D" w14:textId="7D009A0D" w:rsidR="00760BEE" w:rsidRPr="000C606C" w:rsidRDefault="00000000">
      <w:pPr>
        <w:pStyle w:val="BodyText"/>
        <w:rPr>
          <w:b/>
          <w:bCs/>
          <w:i/>
          <w:iCs/>
        </w:rPr>
      </w:pPr>
      <w:r w:rsidRPr="000C606C">
        <w:rPr>
          <w:b/>
          <w:bCs/>
          <w:i/>
          <w:iCs/>
        </w:rPr>
        <w:t>How does the Red Queen Effect explain Sai Tex's competitive decline? Identify the specific mechanisms through which technological stagnation has created a self-reinforcing cycle of decline for the firm.</w:t>
      </w:r>
    </w:p>
    <w:p w14:paraId="0D9D0586" w14:textId="77777777" w:rsidR="00760BEE" w:rsidRDefault="00000000">
      <w:pPr>
        <w:pStyle w:val="BodyText"/>
      </w:pPr>
      <w:r>
        <w:t>The Red Queen Effect (Barnett and Hansen, 1996) describes a competitive dynamic in which firms must continuously adapt merely to maintain their relative position. The case title invokes this metaphor directly, and the mechanism operating at Sai Tex illustrates the theory with precision.</w:t>
      </w:r>
    </w:p>
    <w:p w14:paraId="5BE9A7FD" w14:textId="77777777" w:rsidR="00760BEE" w:rsidRDefault="00000000">
      <w:pPr>
        <w:pStyle w:val="BodyText"/>
      </w:pPr>
      <w:r>
        <w:t>The self-reinforcing cycle operates through a sequence of linked competitive disadvantages. Sai Tex's rapier looms operate at 300 RPM, producing approximately 100 metres per day per machine. Competitors equipped with air-jet looms run at 1,200 RPM and produce 400 metres per day. This four-fold throughput differential means Sai Tex distributes its fixed costs across far fewer metres of output, resulting in elevated per-unit costs. Higher per-unit costs compress margins, which in turn prevent Patil from matching the wages that competitors with newer machines offer (approximately 10 per cent higher). Workers therefore migrate to better-equipped units. With fewer workers, Sai Tex operates at 50 per cent capacity, which drives per-unit costs higher still. Compressed margins also preclude the capital accumulation necessary to finance an upgrade. Each link in this chain reinforces the next.</w:t>
      </w:r>
    </w:p>
    <w:p w14:paraId="2DDE8B99" w14:textId="77777777" w:rsidR="00760BEE" w:rsidRDefault="00000000">
      <w:pPr>
        <w:pStyle w:val="BodyText"/>
      </w:pPr>
      <w:r>
        <w:t>At the cluster level, a notable structural shift has occurred. Ichhalkaranji's historical competitive advantage rested on flexibility and dense local networks; a weaver could secure a new customer within days. That same network density, however, now enables workers to identify better-paying employers with equal speed. The cluster's basis of competition has shifted from transactional flexibility to technological capability, and units that have not upgraded are being systematically selected out.</w:t>
      </w:r>
    </w:p>
    <w:p w14:paraId="4D9E3BA2" w14:textId="77777777" w:rsidR="00760BEE" w:rsidRDefault="00000000">
      <w:pPr>
        <w:pStyle w:val="BodyText"/>
      </w:pPr>
      <w:r>
        <w:t>The US tariff imposed in August 2024 did not create this dynamic. It accelerated a pre-existing decline. The technology gap existed before the tariff. The tariff's effect was to flood the domestic market with surplus fabric from export-oriented units, compressing job-work rates below break-even. External shocks disproportionately harm firms that are already competitively weakened, and Sai Tex was already in that position.</w:t>
      </w:r>
    </w:p>
    <w:p w14:paraId="4A628187" w14:textId="77777777" w:rsidR="00760BEE" w:rsidRDefault="00000000">
      <w:pPr>
        <w:pStyle w:val="BodyText"/>
      </w:pPr>
      <w:r>
        <w:t xml:space="preserve">This analysis explains why Option B is strategically insufficient even if it is financially safer. Retrofitting 15-year-old machines does not alter Sai Tex's position on the technology curve; </w:t>
      </w:r>
      <w:r>
        <w:lastRenderedPageBreak/>
        <w:t>it merely decelerates the rate of decline. Competitors who have already upgraded will continue to attract workers, capture clients, and exert downward pressure on rates. Option B amounts to running faster on the same treadmill. Option A represents a shift to a faster one.</w:t>
      </w:r>
    </w:p>
    <w:p w14:paraId="4010036A" w14:textId="60F31464" w:rsidR="000C606C" w:rsidRDefault="00000000" w:rsidP="000C606C">
      <w:pPr>
        <w:pStyle w:val="BodyText"/>
      </w:pPr>
      <w:r>
        <w:rPr>
          <w:b/>
        </w:rPr>
        <w:t xml:space="preserve">Question 4: </w:t>
      </w:r>
    </w:p>
    <w:p w14:paraId="415FDE83" w14:textId="17F75513" w:rsidR="00760BEE" w:rsidRPr="000C606C" w:rsidRDefault="00000000">
      <w:pPr>
        <w:pStyle w:val="BodyText"/>
        <w:rPr>
          <w:b/>
          <w:bCs/>
          <w:i/>
          <w:iCs/>
        </w:rPr>
      </w:pPr>
      <w:r w:rsidRPr="000C606C">
        <w:rPr>
          <w:b/>
          <w:bCs/>
          <w:i/>
          <w:iCs/>
        </w:rPr>
        <w:t xml:space="preserve">Apply the Theory of Constraints to Sai Tex's operations. What is the binding constraint: technology, </w:t>
      </w:r>
      <w:r w:rsidR="0082003C" w:rsidRPr="000C606C">
        <w:rPr>
          <w:b/>
          <w:bCs/>
          <w:i/>
          <w:iCs/>
        </w:rPr>
        <w:t>labor</w:t>
      </w:r>
      <w:r w:rsidRPr="000C606C">
        <w:rPr>
          <w:b/>
          <w:bCs/>
          <w:i/>
          <w:iCs/>
        </w:rPr>
        <w:t>, market access, or capital? How does identifying the correct constraint change the recommended course of action?</w:t>
      </w:r>
    </w:p>
    <w:p w14:paraId="15E81BBD" w14:textId="77777777" w:rsidR="00760BEE" w:rsidRDefault="00000000">
      <w:pPr>
        <w:pStyle w:val="BodyText"/>
      </w:pPr>
      <w:r>
        <w:t>The Theory of Constraints (Goldratt and Cox, 2004) posits that every system's throughput is limited by a single binding constraint. Identifying and addressing that constraint is the prerequisite for improving system performance. In Sai Tex's case, four candidate constraints merit examination.</w:t>
      </w:r>
    </w:p>
    <w:p w14:paraId="047CD477" w14:textId="01D920A3" w:rsidR="00760BEE" w:rsidRDefault="00000000">
      <w:pPr>
        <w:pStyle w:val="BodyText"/>
      </w:pPr>
      <w:r>
        <w:rPr>
          <w:i/>
        </w:rPr>
        <w:t xml:space="preserve">Technology. </w:t>
      </w:r>
      <w:r>
        <w:t xml:space="preserve">The evidence in </w:t>
      </w:r>
      <w:r w:rsidR="0082003C">
        <w:t>favor</w:t>
      </w:r>
      <w:r>
        <w:t xml:space="preserve">: a four-fold throughput gap (300 RPM versus 1,200 RPM) and 15-year-old machines operating well below current industry standards. The evidence </w:t>
      </w:r>
      <w:r w:rsidR="0082003C">
        <w:t>against</w:t>
      </w:r>
      <w:r>
        <w:t xml:space="preserve"> even the existing machines are </w:t>
      </w:r>
      <w:r w:rsidR="0082003C">
        <w:t>utilized</w:t>
      </w:r>
      <w:r>
        <w:t xml:space="preserve"> at only 50 per cent of their capacity, suggesting that the technology is not the immediate bottleneck in production scheduling.</w:t>
      </w:r>
    </w:p>
    <w:p w14:paraId="43EF928D" w14:textId="15CACDB3" w:rsidR="00760BEE" w:rsidRDefault="0082003C">
      <w:pPr>
        <w:pStyle w:val="BodyText"/>
      </w:pPr>
      <w:r>
        <w:rPr>
          <w:i/>
        </w:rPr>
        <w:t xml:space="preserve">Labor. </w:t>
      </w:r>
      <w:r>
        <w:t>The evidence in favor: 50 per cent capacity utilization, workers departing for upgraded mills offering approximately 10 per cent higher wages. The counterargument: labor attrition is a consequence of the wage gap created by lower margins on older machines. Workers leave because Sai Tex's technology cannot generate sufficient margin to fund competitive wages. The labor drain is a symptom of the underlying economic gap, not its root cause.</w:t>
      </w:r>
    </w:p>
    <w:p w14:paraId="58D60356" w14:textId="46F955A2" w:rsidR="00760BEE" w:rsidRDefault="00000000">
      <w:pPr>
        <w:pStyle w:val="BodyText"/>
      </w:pPr>
      <w:r>
        <w:rPr>
          <w:i/>
        </w:rPr>
        <w:t xml:space="preserve">Market access. </w:t>
      </w:r>
      <w:r>
        <w:t xml:space="preserve">The evidence in </w:t>
      </w:r>
      <w:r w:rsidR="0082003C">
        <w:t>favor</w:t>
      </w:r>
      <w:r>
        <w:t>: the job-work rate has fallen below break-even, Patil has no pricing power, and the export market has contracted by 40 per cent. The counterargument: under the sale-purchase model, market access changes entirely. This constraint is model-dependent rather than absolute.</w:t>
      </w:r>
    </w:p>
    <w:p w14:paraId="254AEB76" w14:textId="5EA9997A" w:rsidR="00760BEE" w:rsidRDefault="00000000">
      <w:pPr>
        <w:pStyle w:val="BodyText"/>
      </w:pPr>
      <w:r>
        <w:rPr>
          <w:i/>
        </w:rPr>
        <w:t xml:space="preserve">Capital. </w:t>
      </w:r>
      <w:r>
        <w:t xml:space="preserve">The evidence in </w:t>
      </w:r>
      <w:r w:rsidR="0082003C">
        <w:t>favor</w:t>
      </w:r>
      <w:r>
        <w:t>: US$130,435 in existing debt, a 14 per cent interest rate, the bank's requirement of the family bungalow as collateral, and the absence of formal financial records. The counterargument: MAHA-TUFS could offset 25 per cent of the investment, and capital is available if collateral is pledged. This constraint is binding but relaxable.</w:t>
      </w:r>
    </w:p>
    <w:p w14:paraId="4637D2F3" w14:textId="6A3AEF23" w:rsidR="00760BEE" w:rsidRDefault="00000000">
      <w:pPr>
        <w:pStyle w:val="BodyText"/>
      </w:pPr>
      <w:r>
        <w:t xml:space="preserve">The analysis points to technology as the root constraint. </w:t>
      </w:r>
      <w:r w:rsidR="0082003C">
        <w:t>Labor</w:t>
      </w:r>
      <w:r>
        <w:t xml:space="preserve">, market, and capital constraints are downstream effects. Technology limits wage competitiveness, which drives </w:t>
      </w:r>
      <w:r w:rsidR="0082003C">
        <w:t>labor</w:t>
      </w:r>
      <w:r>
        <w:t xml:space="preserve"> attrition, which drives capacity </w:t>
      </w:r>
      <w:r w:rsidR="0082003C">
        <w:t>underutilization</w:t>
      </w:r>
      <w:r>
        <w:t>, which drives per-unit cost inflation, which drives the inability to accumulate capital for upgrades. The constraints are nested and interactive.</w:t>
      </w:r>
    </w:p>
    <w:p w14:paraId="66A4A03F" w14:textId="77777777" w:rsidR="00760BEE" w:rsidRDefault="00000000">
      <w:pPr>
        <w:pStyle w:val="BodyText"/>
      </w:pPr>
      <w:r>
        <w:lastRenderedPageBreak/>
        <w:t>If technology is the root constraint, then all other decisions (business model, energy, workforce) should be subordinated to resolving the technology gap. This points toward Option A.</w:t>
      </w:r>
    </w:p>
    <w:p w14:paraId="54A48746" w14:textId="77777777" w:rsidR="00760BEE" w:rsidRDefault="00000000">
      <w:pPr>
        <w:pStyle w:val="BodyText"/>
      </w:pPr>
      <w:r>
        <w:t>If capital is the root constraint, the priority shifts to finding the lowest-capital path to viability. That points toward Option B as a bridge, or toward creative financing (phased upgrade, leasing, cooperative investment) that the case does not explicitly offer but that students may propose.</w:t>
      </w:r>
    </w:p>
    <w:p w14:paraId="46E661F8" w14:textId="77777777" w:rsidR="00760BEE" w:rsidRDefault="00000000">
      <w:pPr>
        <w:pStyle w:val="BodyText"/>
      </w:pPr>
      <w:r>
        <w:t>The TOC analysis reinforces the Red Queen argument: Option B addresses symptoms (energy costs, working conditions) but not the root constraint (technology). Breaking the cycle requires addressing the root, not the symptoms.</w:t>
      </w:r>
    </w:p>
    <w:p w14:paraId="0F494342" w14:textId="7014186D" w:rsidR="001B38D1" w:rsidRDefault="00000000" w:rsidP="001B38D1">
      <w:pPr>
        <w:pStyle w:val="BodyText"/>
      </w:pPr>
      <w:r>
        <w:rPr>
          <w:b/>
        </w:rPr>
        <w:t xml:space="preserve">Question 5: </w:t>
      </w:r>
    </w:p>
    <w:p w14:paraId="08A5FE7E" w14:textId="5FB89516" w:rsidR="00760BEE" w:rsidRPr="001B38D1" w:rsidRDefault="00000000">
      <w:pPr>
        <w:pStyle w:val="BodyText"/>
        <w:rPr>
          <w:b/>
          <w:bCs/>
          <w:i/>
          <w:iCs/>
        </w:rPr>
      </w:pPr>
      <w:r w:rsidRPr="001B38D1">
        <w:rPr>
          <w:b/>
          <w:bCs/>
          <w:i/>
          <w:iCs/>
        </w:rPr>
        <w:t>Patil's father instilled in him the belief that "if you have the means to give someone a livelihood, you have the duty to do it." How does this socio-emotional wealth orientation affect Patil's strategic calculus? Should non-financial considerations change the recommended option? Why or why not?</w:t>
      </w:r>
    </w:p>
    <w:p w14:paraId="6320CE23" w14:textId="77777777" w:rsidR="00760BEE" w:rsidRDefault="00000000">
      <w:pPr>
        <w:pStyle w:val="BodyText"/>
      </w:pPr>
      <w:r>
        <w:t>The SEW framework (Gómez-Mejía et al., 2007; Berrone et al., 2012) identifies five dimensions of non-financial value that family firm owners seek to preserve. Each dimension is observable in Sai Tex's situation.</w:t>
      </w:r>
    </w:p>
    <w:p w14:paraId="7C90EE8D" w14:textId="77777777" w:rsidR="00760BEE" w:rsidRDefault="00000000">
      <w:pPr>
        <w:pStyle w:val="BodyText"/>
      </w:pPr>
      <w:r>
        <w:rPr>
          <w:i/>
        </w:rPr>
        <w:t xml:space="preserve">Family control and influence. </w:t>
      </w:r>
      <w:r>
        <w:t>Patil is sole proprietor. Every decision is his. Option A requires pledging the family bungalow, effectively transferring control to the bank.</w:t>
      </w:r>
    </w:p>
    <w:p w14:paraId="5F1C8F42" w14:textId="444AD91B" w:rsidR="00760BEE" w:rsidRDefault="00000000">
      <w:pPr>
        <w:pStyle w:val="BodyText"/>
      </w:pPr>
      <w:r>
        <w:rPr>
          <w:i/>
        </w:rPr>
        <w:t xml:space="preserve">Identification with the firm. </w:t>
      </w:r>
      <w:r>
        <w:t xml:space="preserve">The case states it directly: "The mill was not merely a business but an extension of Patil's identity and social obligations." This makes Option C psychologically and socially unacceptable, even when the numbers might </w:t>
      </w:r>
      <w:r w:rsidR="0082003C">
        <w:t>favor</w:t>
      </w:r>
      <w:r>
        <w:t xml:space="preserve"> it.</w:t>
      </w:r>
    </w:p>
    <w:p w14:paraId="65B0B05D" w14:textId="77777777" w:rsidR="00760BEE" w:rsidRDefault="00000000">
      <w:pPr>
        <w:pStyle w:val="BodyText"/>
      </w:pPr>
      <w:r>
        <w:rPr>
          <w:i/>
        </w:rPr>
        <w:t xml:space="preserve">Binding social ties. </w:t>
      </w:r>
      <w:r>
        <w:t>Twelve permanent employees depend on Sai Tex. Shivmani Mishra has been with the firm since founding. Patil supports local schools. These obligations do not appear on a balance sheet, but they weigh on the decision.</w:t>
      </w:r>
    </w:p>
    <w:p w14:paraId="466AD460" w14:textId="77777777" w:rsidR="00760BEE" w:rsidRDefault="00000000">
      <w:pPr>
        <w:pStyle w:val="BodyText"/>
      </w:pPr>
      <w:r>
        <w:rPr>
          <w:i/>
        </w:rPr>
        <w:t xml:space="preserve">Emotional attachment. </w:t>
      </w:r>
      <w:r>
        <w:t>His father's legacy: "If you have the means to give someone a livelihood, you have the duty to do it." That sentence weighs against exit even when exit is financially rational.</w:t>
      </w:r>
    </w:p>
    <w:p w14:paraId="0B6232A2" w14:textId="77777777" w:rsidR="00760BEE" w:rsidRDefault="00000000">
      <w:pPr>
        <w:pStyle w:val="BodyText"/>
      </w:pPr>
      <w:r>
        <w:rPr>
          <w:i/>
        </w:rPr>
        <w:t xml:space="preserve">Renewal through dynastic succession. </w:t>
      </w:r>
      <w:r>
        <w:t>Not directly addressed, since Patil is first-generation. But the bungalow represents intergenerational family wealth, and Option A puts it at risk.</w:t>
      </w:r>
    </w:p>
    <w:p w14:paraId="513D1677" w14:textId="462073A1" w:rsidR="00760BEE" w:rsidRDefault="00000000">
      <w:pPr>
        <w:pStyle w:val="BodyText"/>
      </w:pPr>
      <w:r>
        <w:t xml:space="preserve">A purely financial analysis might </w:t>
      </w:r>
      <w:r w:rsidR="0082003C">
        <w:t>favor</w:t>
      </w:r>
      <w:r>
        <w:t xml:space="preserve"> Option C. It stops the losses and preserves remaining family assets. But SEW theory predicts that family firm owners will accept greater financial risk to preserve non-financial value. Patil's identification with the firm, his ties to workers, and his father's legacy all create a strong SEW-preservation motive that makes exit psychologically unacceptable.</w:t>
      </w:r>
    </w:p>
    <w:p w14:paraId="2F93B41D" w14:textId="77777777" w:rsidR="00760BEE" w:rsidRDefault="00000000">
      <w:pPr>
        <w:pStyle w:val="BodyText"/>
      </w:pPr>
      <w:r>
        <w:lastRenderedPageBreak/>
        <w:t>The tension is real. SEW preservation pushes Patil toward Option A (the only option that preserves the firm and its social role), but Option A also poses the greatest threat to SEW if it fails. Losing the family bungalow would destroy the very family wealth and stability that SEW is meant to protect.</w:t>
      </w:r>
    </w:p>
    <w:p w14:paraId="5071910E" w14:textId="77777777" w:rsidR="00760BEE" w:rsidRDefault="00000000">
      <w:pPr>
        <w:pStyle w:val="BodyText"/>
      </w:pPr>
      <w:r>
        <w:t>The class debate will likely produce three positions. Some students will argue that SEW considerations are a form of cognitive bias, that Patil is letting emotional attachment cloud his judgment. Others will counter that SEW is not irrational; it reflects a different utility function. Patil's social capital, community standing, and personal identity are real assets with economic value (worker loyalty, supplier trust, cooperative membership). Destroying them through exit has costs that a financial model does not capture. The most thoughtful students will reframe the question: not "should SEW matter?" but "how much risk is SEW worth?", and the answer depends on the probability-weighted outcomes of Option A.</w:t>
      </w:r>
    </w:p>
    <w:p w14:paraId="2FD69BBB" w14:textId="77777777" w:rsidR="00760BEE" w:rsidRDefault="00000000">
      <w:pPr>
        <w:pStyle w:val="BodyText"/>
      </w:pPr>
      <w:r>
        <w:t>The central pedagogical insight: real-world strategic decisions in MSMEs and family firms are never purely financial. Patil's decision is genuinely difficult not because he lacks information, but because his financial and non-financial objectives pull in opposite directions.</w:t>
      </w:r>
    </w:p>
    <w:p w14:paraId="57212003" w14:textId="77777777" w:rsidR="00760BEE" w:rsidRDefault="00000000">
      <w:pPr>
        <w:pStyle w:val="Heading2"/>
      </w:pPr>
      <w:r>
        <w:t>Supplementary Framework: PESTEL Analysis</w:t>
      </w:r>
    </w:p>
    <w:p w14:paraId="2CD5ED15" w14:textId="77777777" w:rsidR="00760BEE" w:rsidRDefault="00000000">
      <w:pPr>
        <w:pStyle w:val="FirstParagraph"/>
      </w:pPr>
      <w:r>
        <w:t>This framework can optionally be used to structure the industry context discussion early in the session.</w:t>
      </w:r>
    </w:p>
    <w:tbl>
      <w:tblPr>
        <w:tblStyle w:val="PlainTable1"/>
        <w:tblW w:w="0" w:type="auto"/>
        <w:tblLook w:val="04A0" w:firstRow="1" w:lastRow="0" w:firstColumn="1" w:lastColumn="0" w:noHBand="0" w:noVBand="1"/>
      </w:tblPr>
      <w:tblGrid>
        <w:gridCol w:w="4680"/>
        <w:gridCol w:w="4680"/>
      </w:tblGrid>
      <w:tr w:rsidR="00760BEE" w14:paraId="4E376CA7" w14:textId="77777777" w:rsidTr="001B38D1">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4680" w:type="dxa"/>
            <w:shd w:val="clear" w:color="auto" w:fill="C1F0C7" w:themeFill="accent3" w:themeFillTint="33"/>
          </w:tcPr>
          <w:p w14:paraId="25F4F7E0" w14:textId="77777777" w:rsidR="00760BEE" w:rsidRDefault="00000000" w:rsidP="001B38D1">
            <w:pPr>
              <w:jc w:val="center"/>
            </w:pPr>
            <w:r>
              <w:t>Factor</w:t>
            </w:r>
          </w:p>
        </w:tc>
        <w:tc>
          <w:tcPr>
            <w:tcW w:w="4680" w:type="dxa"/>
            <w:shd w:val="clear" w:color="auto" w:fill="C1F0C7" w:themeFill="accent3" w:themeFillTint="33"/>
          </w:tcPr>
          <w:p w14:paraId="41D61D86"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Impact on Sai Tex</w:t>
            </w:r>
          </w:p>
        </w:tc>
      </w:tr>
      <w:tr w:rsidR="00760BEE" w14:paraId="13080BCD" w14:textId="77777777" w:rsidTr="0082003C">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3F502DBE" w14:textId="77777777" w:rsidR="00760BEE" w:rsidRDefault="00000000" w:rsidP="001B38D1">
            <w:pPr>
              <w:jc w:val="center"/>
            </w:pPr>
            <w:r>
              <w:t>Political</w:t>
            </w:r>
          </w:p>
        </w:tc>
        <w:tc>
          <w:tcPr>
            <w:tcW w:w="4680" w:type="dxa"/>
            <w:shd w:val="clear" w:color="auto" w:fill="auto"/>
          </w:tcPr>
          <w:p w14:paraId="01F79B28" w14:textId="0CB0FDFA"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 xml:space="preserve">MAHA-TUFS subsidy (up to 25%); export penalty notice (US$6,522 fine); government </w:t>
            </w:r>
            <w:r w:rsidR="0082003C">
              <w:t>modernization</w:t>
            </w:r>
            <w:r>
              <w:t xml:space="preserve"> incentives</w:t>
            </w:r>
          </w:p>
        </w:tc>
      </w:tr>
      <w:tr w:rsidR="00760BEE" w14:paraId="41246623" w14:textId="77777777" w:rsidTr="0082003C">
        <w:trPr>
          <w:trHeight w:val="1250"/>
        </w:trPr>
        <w:tc>
          <w:tcPr>
            <w:cnfStyle w:val="001000000000" w:firstRow="0" w:lastRow="0" w:firstColumn="1" w:lastColumn="0" w:oddVBand="0" w:evenVBand="0" w:oddHBand="0" w:evenHBand="0" w:firstRowFirstColumn="0" w:firstRowLastColumn="0" w:lastRowFirstColumn="0" w:lastRowLastColumn="0"/>
            <w:tcW w:w="4680" w:type="dxa"/>
          </w:tcPr>
          <w:p w14:paraId="36B968C7" w14:textId="77777777" w:rsidR="00760BEE" w:rsidRDefault="00000000" w:rsidP="001B38D1">
            <w:pPr>
              <w:jc w:val="center"/>
            </w:pPr>
            <w:r>
              <w:t>Economic</w:t>
            </w:r>
          </w:p>
        </w:tc>
        <w:tc>
          <w:tcPr>
            <w:tcW w:w="4680" w:type="dxa"/>
          </w:tcPr>
          <w:p w14:paraId="01F578B5"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 tariffs led to 40% export decline, domestic oversupply, and rate compression; 14% interest rates; yarn price inflation (20–47%)</w:t>
            </w:r>
          </w:p>
        </w:tc>
      </w:tr>
      <w:tr w:rsidR="00760BEE" w14:paraId="58779643" w14:textId="77777777" w:rsidTr="0082003C">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2C6F10E7" w14:textId="77777777" w:rsidR="00760BEE" w:rsidRDefault="00000000" w:rsidP="001B38D1">
            <w:pPr>
              <w:jc w:val="center"/>
            </w:pPr>
            <w:r>
              <w:t>Social</w:t>
            </w:r>
          </w:p>
        </w:tc>
        <w:tc>
          <w:tcPr>
            <w:tcW w:w="4680" w:type="dxa"/>
            <w:shd w:val="clear" w:color="auto" w:fill="auto"/>
          </w:tcPr>
          <w:p w14:paraId="3BE843A3" w14:textId="76B77242"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 xml:space="preserve">Migrant </w:t>
            </w:r>
            <w:r w:rsidR="0082003C">
              <w:t>labor</w:t>
            </w:r>
            <w:r>
              <w:t xml:space="preserve"> dynamics (UP/Bihar workers as rational economic actors); community obligations; first-generation entrepreneur identity</w:t>
            </w:r>
          </w:p>
        </w:tc>
      </w:tr>
      <w:tr w:rsidR="00760BEE" w14:paraId="1A87ACDD" w14:textId="77777777" w:rsidTr="0082003C">
        <w:trPr>
          <w:trHeight w:val="1340"/>
        </w:trPr>
        <w:tc>
          <w:tcPr>
            <w:cnfStyle w:val="001000000000" w:firstRow="0" w:lastRow="0" w:firstColumn="1" w:lastColumn="0" w:oddVBand="0" w:evenVBand="0" w:oddHBand="0" w:evenHBand="0" w:firstRowFirstColumn="0" w:firstRowLastColumn="0" w:lastRowFirstColumn="0" w:lastRowLastColumn="0"/>
            <w:tcW w:w="4680" w:type="dxa"/>
          </w:tcPr>
          <w:p w14:paraId="7ECC5E34" w14:textId="77777777" w:rsidR="00760BEE" w:rsidRDefault="00000000" w:rsidP="001B38D1">
            <w:pPr>
              <w:jc w:val="center"/>
            </w:pPr>
            <w:r>
              <w:t>Technological</w:t>
            </w:r>
          </w:p>
        </w:tc>
        <w:tc>
          <w:tcPr>
            <w:tcW w:w="4680" w:type="dxa"/>
          </w:tcPr>
          <w:p w14:paraId="0146F73E"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Rapier (300 RPM) vs. air-jet (1,200 RPM); 4x throughput gap; energy efficiency differential; infrastructure requirements (AC plant + compressors)</w:t>
            </w:r>
          </w:p>
        </w:tc>
      </w:tr>
      <w:tr w:rsidR="00760BEE" w14:paraId="49CA53F0" w14:textId="77777777" w:rsidTr="0082003C">
        <w:trPr>
          <w:cnfStyle w:val="000000100000" w:firstRow="0" w:lastRow="0" w:firstColumn="0" w:lastColumn="0" w:oddVBand="0" w:evenVBand="0" w:oddHBand="1" w:evenHBand="0" w:firstRowFirstColumn="0" w:firstRowLastColumn="0" w:lastRowFirstColumn="0" w:lastRowLastColumn="0"/>
          <w:trHeight w:val="1241"/>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61FF5B9F" w14:textId="77777777" w:rsidR="00760BEE" w:rsidRDefault="00000000" w:rsidP="001B38D1">
            <w:pPr>
              <w:jc w:val="center"/>
            </w:pPr>
            <w:r>
              <w:lastRenderedPageBreak/>
              <w:t>Environmental</w:t>
            </w:r>
          </w:p>
        </w:tc>
        <w:tc>
          <w:tcPr>
            <w:tcW w:w="4680" w:type="dxa"/>
            <w:shd w:val="clear" w:color="auto" w:fill="auto"/>
          </w:tcPr>
          <w:p w14:paraId="1C6AD717"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Rooftop solar opportunity (US$54,348); electricity cost doubling (INR 3.50 to INR 6.50/unit); energy independence as competitive advantage</w:t>
            </w:r>
          </w:p>
        </w:tc>
      </w:tr>
      <w:tr w:rsidR="00760BEE" w14:paraId="7E59CB76" w14:textId="77777777" w:rsidTr="001B38D1">
        <w:tc>
          <w:tcPr>
            <w:cnfStyle w:val="001000000000" w:firstRow="0" w:lastRow="0" w:firstColumn="1" w:lastColumn="0" w:oddVBand="0" w:evenVBand="0" w:oddHBand="0" w:evenHBand="0" w:firstRowFirstColumn="0" w:firstRowLastColumn="0" w:lastRowFirstColumn="0" w:lastRowLastColumn="0"/>
            <w:tcW w:w="4680" w:type="dxa"/>
          </w:tcPr>
          <w:p w14:paraId="7202FC12" w14:textId="77777777" w:rsidR="00760BEE" w:rsidRDefault="00000000" w:rsidP="001B38D1">
            <w:pPr>
              <w:jc w:val="center"/>
            </w:pPr>
            <w:r>
              <w:t>Legal</w:t>
            </w:r>
          </w:p>
        </w:tc>
        <w:tc>
          <w:tcPr>
            <w:tcW w:w="4680" w:type="dxa"/>
          </w:tcPr>
          <w:p w14:paraId="778D2F3A" w14:textId="541C12F8"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 xml:space="preserve">Export obligation notice; cooperative park regulations; </w:t>
            </w:r>
            <w:r w:rsidR="0082003C">
              <w:t>labor</w:t>
            </w:r>
            <w:r>
              <w:t xml:space="preserve"> laws for migrant workers</w:t>
            </w:r>
          </w:p>
        </w:tc>
      </w:tr>
    </w:tbl>
    <w:p w14:paraId="55DF76C3" w14:textId="77777777" w:rsidR="00760BEE" w:rsidRDefault="00000000">
      <w:pPr>
        <w:pStyle w:val="Heading2"/>
      </w:pPr>
      <w:r>
        <w:t>What Happened</w:t>
      </w:r>
    </w:p>
    <w:p w14:paraId="78DBEB48" w14:textId="1B978AB0" w:rsidR="00760BEE" w:rsidRDefault="00000000">
      <w:pPr>
        <w:pStyle w:val="FirstParagraph"/>
      </w:pPr>
      <w:r>
        <w:t xml:space="preserve">As of April 2026, Patil had not made a final decision. He was in active discussions with his bank regarding the MAHA-TUFS subsidy application for the full </w:t>
      </w:r>
      <w:r w:rsidR="0082003C">
        <w:t>modernization</w:t>
      </w:r>
      <w:r>
        <w:t xml:space="preserve"> (Option A). The bank had indicated willingness to finance the upgrade but required the family bungalow as additional collateral.</w:t>
      </w:r>
    </w:p>
    <w:p w14:paraId="27DE1E32" w14:textId="77777777" w:rsidR="00760BEE" w:rsidRDefault="00000000">
      <w:pPr>
        <w:pStyle w:val="BodyText"/>
      </w:pPr>
      <w:r>
        <w:t>When asked whether to process the MAHA-TUFS application or simply renew the existing cash credit limit, Patil responded: "We are applying for MAHA-TUFS subsidy. Without subsidy there will be huge financial burden." The case was written during this decision window; the outcome remained uncertain at the time of publication.</w:t>
      </w:r>
    </w:p>
    <w:p w14:paraId="0F39335E" w14:textId="77777777" w:rsidR="00760BEE" w:rsidRDefault="00000000">
      <w:pPr>
        <w:pStyle w:val="Heading2"/>
      </w:pPr>
      <w:r>
        <w:t>Teaching Note Exhibits</w:t>
      </w:r>
    </w:p>
    <w:p w14:paraId="20745067" w14:textId="77777777" w:rsidR="00760BEE" w:rsidRDefault="00000000">
      <w:pPr>
        <w:pStyle w:val="BodyText"/>
      </w:pPr>
      <w:r>
        <w:rPr>
          <w:b/>
        </w:rPr>
        <w:t>Exhibit TN-1: Break-Even Analysis Summary</w:t>
      </w:r>
    </w:p>
    <w:p w14:paraId="293D3C30" w14:textId="77777777" w:rsidR="00760BEE" w:rsidRDefault="00000000">
      <w:r>
        <w:t>Panel A: Current Model (2025)</w:t>
      </w:r>
    </w:p>
    <w:tbl>
      <w:tblPr>
        <w:tblStyle w:val="PlainTable1"/>
        <w:tblW w:w="0" w:type="auto"/>
        <w:tblLook w:val="04A0" w:firstRow="1" w:lastRow="0" w:firstColumn="1" w:lastColumn="0" w:noHBand="0" w:noVBand="1"/>
      </w:tblPr>
      <w:tblGrid>
        <w:gridCol w:w="2340"/>
        <w:gridCol w:w="2340"/>
        <w:gridCol w:w="2340"/>
        <w:gridCol w:w="2340"/>
      </w:tblGrid>
      <w:tr w:rsidR="00760BEE" w14:paraId="4A92A768" w14:textId="77777777" w:rsidTr="001B38D1">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2340" w:type="dxa"/>
            <w:shd w:val="clear" w:color="auto" w:fill="C1F0C7" w:themeFill="accent3" w:themeFillTint="33"/>
          </w:tcPr>
          <w:p w14:paraId="2D3ABCD4" w14:textId="77777777" w:rsidR="00760BEE" w:rsidRDefault="00000000" w:rsidP="001B38D1">
            <w:pPr>
              <w:jc w:val="center"/>
            </w:pPr>
            <w:r>
              <w:t>Parameter</w:t>
            </w:r>
          </w:p>
        </w:tc>
        <w:tc>
          <w:tcPr>
            <w:tcW w:w="2340" w:type="dxa"/>
            <w:shd w:val="clear" w:color="auto" w:fill="C1F0C7" w:themeFill="accent3" w:themeFillTint="33"/>
          </w:tcPr>
          <w:p w14:paraId="416ADE1E"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Value (USD)</w:t>
            </w:r>
          </w:p>
        </w:tc>
        <w:tc>
          <w:tcPr>
            <w:tcW w:w="2340" w:type="dxa"/>
            <w:shd w:val="clear" w:color="auto" w:fill="C1F0C7" w:themeFill="accent3" w:themeFillTint="33"/>
          </w:tcPr>
          <w:p w14:paraId="3BD7FB37"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Value (INR)</w:t>
            </w:r>
          </w:p>
        </w:tc>
        <w:tc>
          <w:tcPr>
            <w:tcW w:w="2340" w:type="dxa"/>
            <w:shd w:val="clear" w:color="auto" w:fill="C1F0C7" w:themeFill="accent3" w:themeFillTint="33"/>
          </w:tcPr>
          <w:p w14:paraId="67CD5069"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Source</w:t>
            </w:r>
          </w:p>
        </w:tc>
      </w:tr>
      <w:tr w:rsidR="00760BEE" w14:paraId="45E3A686" w14:textId="77777777" w:rsidTr="0082003C">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772D23C2" w14:textId="77777777" w:rsidR="00760BEE" w:rsidRDefault="00000000" w:rsidP="001B38D1">
            <w:pPr>
              <w:jc w:val="center"/>
            </w:pPr>
            <w:r>
              <w:t>Monthly fixed costs</w:t>
            </w:r>
          </w:p>
        </w:tc>
        <w:tc>
          <w:tcPr>
            <w:tcW w:w="2340" w:type="dxa"/>
            <w:shd w:val="clear" w:color="auto" w:fill="auto"/>
          </w:tcPr>
          <w:p w14:paraId="19C1C7A9"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US$3,673</w:t>
            </w:r>
          </w:p>
        </w:tc>
        <w:tc>
          <w:tcPr>
            <w:tcW w:w="2340" w:type="dxa"/>
            <w:shd w:val="clear" w:color="auto" w:fill="auto"/>
          </w:tcPr>
          <w:p w14:paraId="3A154D60"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INR 337,900</w:t>
            </w:r>
          </w:p>
        </w:tc>
        <w:tc>
          <w:tcPr>
            <w:tcW w:w="2340" w:type="dxa"/>
            <w:shd w:val="clear" w:color="auto" w:fill="auto"/>
          </w:tcPr>
          <w:p w14:paraId="5E463171" w14:textId="23A48B1F"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 xml:space="preserve">Exhibit 7 (interest + </w:t>
            </w:r>
            <w:r w:rsidR="0082003C">
              <w:t>labor</w:t>
            </w:r>
            <w:r>
              <w:t xml:space="preserve"> + overheads)</w:t>
            </w:r>
          </w:p>
        </w:tc>
      </w:tr>
      <w:tr w:rsidR="00760BEE" w14:paraId="40C72E50" w14:textId="77777777" w:rsidTr="0082003C">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497840CA" w14:textId="77777777" w:rsidR="00760BEE" w:rsidRDefault="00000000" w:rsidP="001B38D1">
            <w:pPr>
              <w:jc w:val="center"/>
            </w:pPr>
            <w:r>
              <w:t>Variable cost per metre</w:t>
            </w:r>
          </w:p>
        </w:tc>
        <w:tc>
          <w:tcPr>
            <w:tcW w:w="2340" w:type="dxa"/>
          </w:tcPr>
          <w:p w14:paraId="255A649E"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US$0.017</w:t>
            </w:r>
          </w:p>
        </w:tc>
        <w:tc>
          <w:tcPr>
            <w:tcW w:w="2340" w:type="dxa"/>
          </w:tcPr>
          <w:p w14:paraId="17D2D612"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INR 1.56</w:t>
            </w:r>
          </w:p>
        </w:tc>
        <w:tc>
          <w:tcPr>
            <w:tcW w:w="2340" w:type="dxa"/>
          </w:tcPr>
          <w:p w14:paraId="0E6B2DC2"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Exhibit 7 (power + transport, scaled)</w:t>
            </w:r>
          </w:p>
        </w:tc>
      </w:tr>
      <w:tr w:rsidR="00760BEE" w14:paraId="082A60B8" w14:textId="77777777" w:rsidTr="0082003C">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34488DCD" w14:textId="77777777" w:rsidR="00760BEE" w:rsidRDefault="00000000" w:rsidP="001B38D1">
            <w:pPr>
              <w:jc w:val="center"/>
            </w:pPr>
            <w:r>
              <w:t>Average realised rate</w:t>
            </w:r>
          </w:p>
        </w:tc>
        <w:tc>
          <w:tcPr>
            <w:tcW w:w="2340" w:type="dxa"/>
            <w:shd w:val="clear" w:color="auto" w:fill="auto"/>
          </w:tcPr>
          <w:p w14:paraId="5E74CA09"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US$0.088/m</w:t>
            </w:r>
          </w:p>
        </w:tc>
        <w:tc>
          <w:tcPr>
            <w:tcW w:w="2340" w:type="dxa"/>
            <w:shd w:val="clear" w:color="auto" w:fill="auto"/>
          </w:tcPr>
          <w:p w14:paraId="4177AFEF"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INR 8.07/m</w:t>
            </w:r>
          </w:p>
        </w:tc>
        <w:tc>
          <w:tcPr>
            <w:tcW w:w="2340" w:type="dxa"/>
            <w:shd w:val="clear" w:color="auto" w:fill="auto"/>
          </w:tcPr>
          <w:p w14:paraId="27A5368C"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Exhibit 2 (2025 full-year average)</w:t>
            </w:r>
          </w:p>
        </w:tc>
      </w:tr>
      <w:tr w:rsidR="00760BEE" w14:paraId="21AEDF40" w14:textId="77777777" w:rsidTr="0082003C">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5CCD2DBC" w14:textId="77777777" w:rsidR="00760BEE" w:rsidRDefault="00000000" w:rsidP="001B38D1">
            <w:pPr>
              <w:jc w:val="center"/>
            </w:pPr>
            <w:r>
              <w:t>Contribution margin</w:t>
            </w:r>
          </w:p>
        </w:tc>
        <w:tc>
          <w:tcPr>
            <w:tcW w:w="2340" w:type="dxa"/>
          </w:tcPr>
          <w:p w14:paraId="46607CA8"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US$0.071/m</w:t>
            </w:r>
          </w:p>
        </w:tc>
        <w:tc>
          <w:tcPr>
            <w:tcW w:w="2340" w:type="dxa"/>
          </w:tcPr>
          <w:p w14:paraId="7E9B206E"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INR 6.51/m</w:t>
            </w:r>
          </w:p>
        </w:tc>
        <w:tc>
          <w:tcPr>
            <w:tcW w:w="2340" w:type="dxa"/>
          </w:tcPr>
          <w:p w14:paraId="20380F47"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Rate minus variable cost</w:t>
            </w:r>
          </w:p>
        </w:tc>
      </w:tr>
      <w:tr w:rsidR="00760BEE" w14:paraId="187710B1" w14:textId="77777777" w:rsidTr="0082003C">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4CB76687" w14:textId="77777777" w:rsidR="00760BEE" w:rsidRDefault="00000000" w:rsidP="001B38D1">
            <w:pPr>
              <w:jc w:val="center"/>
            </w:pPr>
            <w:r>
              <w:t>Break-even volume</w:t>
            </w:r>
          </w:p>
        </w:tc>
        <w:tc>
          <w:tcPr>
            <w:tcW w:w="2340" w:type="dxa"/>
            <w:shd w:val="clear" w:color="auto" w:fill="auto"/>
          </w:tcPr>
          <w:p w14:paraId="32E51F70"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51,900 metres/month</w:t>
            </w:r>
          </w:p>
        </w:tc>
        <w:tc>
          <w:tcPr>
            <w:tcW w:w="2340" w:type="dxa"/>
            <w:shd w:val="clear" w:color="auto" w:fill="auto"/>
          </w:tcPr>
          <w:p w14:paraId="1AF3CFBA"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N/A</w:t>
            </w:r>
          </w:p>
        </w:tc>
        <w:tc>
          <w:tcPr>
            <w:tcW w:w="2340" w:type="dxa"/>
            <w:shd w:val="clear" w:color="auto" w:fill="auto"/>
          </w:tcPr>
          <w:p w14:paraId="1674C35A"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Fixed costs / contribution margin</w:t>
            </w:r>
          </w:p>
        </w:tc>
      </w:tr>
      <w:tr w:rsidR="00760BEE" w14:paraId="637519DB" w14:textId="77777777" w:rsidTr="0082003C">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2AC8043C" w14:textId="77777777" w:rsidR="00760BEE" w:rsidRDefault="00000000" w:rsidP="001B38D1">
            <w:pPr>
              <w:jc w:val="center"/>
            </w:pPr>
            <w:r>
              <w:t>Peak observed production</w:t>
            </w:r>
          </w:p>
        </w:tc>
        <w:tc>
          <w:tcPr>
            <w:tcW w:w="2340" w:type="dxa"/>
          </w:tcPr>
          <w:p w14:paraId="56573289"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45,000 metres/month</w:t>
            </w:r>
          </w:p>
        </w:tc>
        <w:tc>
          <w:tcPr>
            <w:tcW w:w="2340" w:type="dxa"/>
          </w:tcPr>
          <w:p w14:paraId="6A3A8935"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N/A</w:t>
            </w:r>
          </w:p>
        </w:tc>
        <w:tc>
          <w:tcPr>
            <w:tcW w:w="2340" w:type="dxa"/>
          </w:tcPr>
          <w:p w14:paraId="62AEB57B"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Exhibit 2 (Jan and Aug 2025)</w:t>
            </w:r>
          </w:p>
        </w:tc>
      </w:tr>
      <w:tr w:rsidR="00760BEE" w14:paraId="09DD27AB" w14:textId="77777777" w:rsidTr="0082003C">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2340" w:type="dxa"/>
            <w:shd w:val="clear" w:color="auto" w:fill="auto"/>
          </w:tcPr>
          <w:p w14:paraId="1E6DCF29" w14:textId="77777777" w:rsidR="00760BEE" w:rsidRDefault="00000000" w:rsidP="001B38D1">
            <w:pPr>
              <w:jc w:val="center"/>
            </w:pPr>
            <w:r>
              <w:t>Gap</w:t>
            </w:r>
          </w:p>
        </w:tc>
        <w:tc>
          <w:tcPr>
            <w:tcW w:w="2340" w:type="dxa"/>
            <w:shd w:val="clear" w:color="auto" w:fill="auto"/>
          </w:tcPr>
          <w:p w14:paraId="75B1213F"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6,900 metres/month</w:t>
            </w:r>
          </w:p>
        </w:tc>
        <w:tc>
          <w:tcPr>
            <w:tcW w:w="2340" w:type="dxa"/>
            <w:shd w:val="clear" w:color="auto" w:fill="auto"/>
          </w:tcPr>
          <w:p w14:paraId="2755676C"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N/A</w:t>
            </w:r>
          </w:p>
        </w:tc>
        <w:tc>
          <w:tcPr>
            <w:tcW w:w="2340" w:type="dxa"/>
            <w:shd w:val="clear" w:color="auto" w:fill="auto"/>
          </w:tcPr>
          <w:p w14:paraId="126D658A"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Break-even exceeds maximum capacity</w:t>
            </w:r>
          </w:p>
        </w:tc>
      </w:tr>
    </w:tbl>
    <w:p w14:paraId="04477802" w14:textId="77777777" w:rsidR="00760BEE" w:rsidRDefault="00000000">
      <w:r>
        <w:t>Panel B: Option A Projections (from Exhibit 3)</w:t>
      </w:r>
    </w:p>
    <w:tbl>
      <w:tblPr>
        <w:tblStyle w:val="PlainTable1"/>
        <w:tblW w:w="0" w:type="auto"/>
        <w:tblLook w:val="04A0" w:firstRow="1" w:lastRow="0" w:firstColumn="1" w:lastColumn="0" w:noHBand="0" w:noVBand="1"/>
      </w:tblPr>
      <w:tblGrid>
        <w:gridCol w:w="3120"/>
        <w:gridCol w:w="3120"/>
        <w:gridCol w:w="3120"/>
      </w:tblGrid>
      <w:tr w:rsidR="00760BEE" w14:paraId="12F83024" w14:textId="77777777" w:rsidTr="001B38D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120" w:type="dxa"/>
            <w:shd w:val="clear" w:color="auto" w:fill="C1F0C7" w:themeFill="accent3" w:themeFillTint="33"/>
          </w:tcPr>
          <w:p w14:paraId="44D390A2" w14:textId="77777777" w:rsidR="00760BEE" w:rsidRDefault="00000000" w:rsidP="001B38D1">
            <w:pPr>
              <w:jc w:val="center"/>
            </w:pPr>
            <w:r>
              <w:lastRenderedPageBreak/>
              <w:t>Parameter</w:t>
            </w:r>
          </w:p>
        </w:tc>
        <w:tc>
          <w:tcPr>
            <w:tcW w:w="3120" w:type="dxa"/>
            <w:shd w:val="clear" w:color="auto" w:fill="C1F0C7" w:themeFill="accent3" w:themeFillTint="33"/>
          </w:tcPr>
          <w:p w14:paraId="036081A1"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Current</w:t>
            </w:r>
          </w:p>
        </w:tc>
        <w:tc>
          <w:tcPr>
            <w:tcW w:w="3120" w:type="dxa"/>
            <w:shd w:val="clear" w:color="auto" w:fill="C1F0C7" w:themeFill="accent3" w:themeFillTint="33"/>
          </w:tcPr>
          <w:p w14:paraId="2859AABF"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Option A (Year 1)</w:t>
            </w:r>
          </w:p>
        </w:tc>
      </w:tr>
      <w:tr w:rsidR="00760BEE" w14:paraId="1C147C71" w14:textId="77777777" w:rsidTr="001B38D1">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3120" w:type="dxa"/>
            <w:shd w:val="clear" w:color="auto" w:fill="auto"/>
          </w:tcPr>
          <w:p w14:paraId="565B84E2" w14:textId="77777777" w:rsidR="00760BEE" w:rsidRDefault="00000000" w:rsidP="001B38D1">
            <w:pPr>
              <w:jc w:val="center"/>
            </w:pPr>
            <w:r>
              <w:t>Capacity</w:t>
            </w:r>
          </w:p>
        </w:tc>
        <w:tc>
          <w:tcPr>
            <w:tcW w:w="3120" w:type="dxa"/>
            <w:shd w:val="clear" w:color="auto" w:fill="auto"/>
          </w:tcPr>
          <w:p w14:paraId="1005A799"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1,000 m/day</w:t>
            </w:r>
          </w:p>
        </w:tc>
        <w:tc>
          <w:tcPr>
            <w:tcW w:w="3120" w:type="dxa"/>
            <w:shd w:val="clear" w:color="auto" w:fill="auto"/>
          </w:tcPr>
          <w:p w14:paraId="43FB55B9"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4,800 m/day</w:t>
            </w:r>
          </w:p>
        </w:tc>
      </w:tr>
      <w:tr w:rsidR="00760BEE" w14:paraId="559619D2" w14:textId="77777777" w:rsidTr="001B38D1">
        <w:trPr>
          <w:trHeight w:val="351"/>
        </w:trPr>
        <w:tc>
          <w:tcPr>
            <w:cnfStyle w:val="001000000000" w:firstRow="0" w:lastRow="0" w:firstColumn="1" w:lastColumn="0" w:oddVBand="0" w:evenVBand="0" w:oddHBand="0" w:evenHBand="0" w:firstRowFirstColumn="0" w:firstRowLastColumn="0" w:lastRowFirstColumn="0" w:lastRowLastColumn="0"/>
            <w:tcW w:w="3120" w:type="dxa"/>
          </w:tcPr>
          <w:p w14:paraId="58F6B38C" w14:textId="77777777" w:rsidR="00760BEE" w:rsidRDefault="00000000" w:rsidP="001B38D1">
            <w:pPr>
              <w:jc w:val="center"/>
            </w:pPr>
            <w:r>
              <w:t>Monthly output (26 days)</w:t>
            </w:r>
          </w:p>
        </w:tc>
        <w:tc>
          <w:tcPr>
            <w:tcW w:w="3120" w:type="dxa"/>
          </w:tcPr>
          <w:p w14:paraId="0B52DA0E"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~37,800 m</w:t>
            </w:r>
          </w:p>
        </w:tc>
        <w:tc>
          <w:tcPr>
            <w:tcW w:w="3120" w:type="dxa"/>
          </w:tcPr>
          <w:p w14:paraId="0483F68C"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~124,800 m</w:t>
            </w:r>
          </w:p>
        </w:tc>
      </w:tr>
      <w:tr w:rsidR="00760BEE" w14:paraId="4DA54933" w14:textId="77777777" w:rsidTr="001B38D1">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3120" w:type="dxa"/>
            <w:shd w:val="clear" w:color="auto" w:fill="auto"/>
          </w:tcPr>
          <w:p w14:paraId="7A6979A2" w14:textId="77777777" w:rsidR="00760BEE" w:rsidRDefault="00000000" w:rsidP="001B38D1">
            <w:pPr>
              <w:jc w:val="center"/>
            </w:pPr>
            <w:r>
              <w:t>Revenue model</w:t>
            </w:r>
          </w:p>
        </w:tc>
        <w:tc>
          <w:tcPr>
            <w:tcW w:w="3120" w:type="dxa"/>
            <w:shd w:val="clear" w:color="auto" w:fill="auto"/>
          </w:tcPr>
          <w:p w14:paraId="3B6C2EB8"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Job-work (US$0.087/m)</w:t>
            </w:r>
          </w:p>
        </w:tc>
        <w:tc>
          <w:tcPr>
            <w:tcW w:w="3120" w:type="dxa"/>
            <w:shd w:val="clear" w:color="auto" w:fill="auto"/>
          </w:tcPr>
          <w:p w14:paraId="40490DDA"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Sale-purchase (US$0.163–0.196/m)</w:t>
            </w:r>
          </w:p>
        </w:tc>
      </w:tr>
      <w:tr w:rsidR="00760BEE" w14:paraId="796EED19" w14:textId="77777777" w:rsidTr="001B38D1">
        <w:trPr>
          <w:trHeight w:val="727"/>
        </w:trPr>
        <w:tc>
          <w:tcPr>
            <w:cnfStyle w:val="001000000000" w:firstRow="0" w:lastRow="0" w:firstColumn="1" w:lastColumn="0" w:oddVBand="0" w:evenVBand="0" w:oddHBand="0" w:evenHBand="0" w:firstRowFirstColumn="0" w:firstRowLastColumn="0" w:lastRowFirstColumn="0" w:lastRowLastColumn="0"/>
            <w:tcW w:w="3120" w:type="dxa"/>
          </w:tcPr>
          <w:p w14:paraId="58F5FDAC" w14:textId="77777777" w:rsidR="00760BEE" w:rsidRDefault="00000000" w:rsidP="001B38D1">
            <w:pPr>
              <w:jc w:val="center"/>
            </w:pPr>
            <w:r>
              <w:t>Estimated monthly revenue</w:t>
            </w:r>
          </w:p>
        </w:tc>
        <w:tc>
          <w:tcPr>
            <w:tcW w:w="3120" w:type="dxa"/>
          </w:tcPr>
          <w:p w14:paraId="701188A5"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US$5,283</w:t>
            </w:r>
          </w:p>
        </w:tc>
        <w:tc>
          <w:tcPr>
            <w:tcW w:w="3120" w:type="dxa"/>
          </w:tcPr>
          <w:p w14:paraId="6BB427FC"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US$10,870–16,304</w:t>
            </w:r>
          </w:p>
        </w:tc>
      </w:tr>
      <w:tr w:rsidR="00760BEE" w14:paraId="7DB4B16B" w14:textId="77777777" w:rsidTr="001B38D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20" w:type="dxa"/>
            <w:shd w:val="clear" w:color="auto" w:fill="auto"/>
          </w:tcPr>
          <w:p w14:paraId="2F8AD058" w14:textId="77777777" w:rsidR="00760BEE" w:rsidRDefault="00000000" w:rsidP="001B38D1">
            <w:pPr>
              <w:jc w:val="center"/>
            </w:pPr>
            <w:r>
              <w:t>Total debt</w:t>
            </w:r>
          </w:p>
        </w:tc>
        <w:tc>
          <w:tcPr>
            <w:tcW w:w="3120" w:type="dxa"/>
            <w:shd w:val="clear" w:color="auto" w:fill="auto"/>
          </w:tcPr>
          <w:p w14:paraId="7B6787F9"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US$130,435</w:t>
            </w:r>
          </w:p>
        </w:tc>
        <w:tc>
          <w:tcPr>
            <w:tcW w:w="3120" w:type="dxa"/>
            <w:shd w:val="clear" w:color="auto" w:fill="auto"/>
          </w:tcPr>
          <w:p w14:paraId="4DD84AA6"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US$603,261</w:t>
            </w:r>
          </w:p>
        </w:tc>
      </w:tr>
      <w:tr w:rsidR="00760BEE" w14:paraId="552998B3" w14:textId="77777777" w:rsidTr="001B38D1">
        <w:trPr>
          <w:trHeight w:val="351"/>
        </w:trPr>
        <w:tc>
          <w:tcPr>
            <w:cnfStyle w:val="001000000000" w:firstRow="0" w:lastRow="0" w:firstColumn="1" w:lastColumn="0" w:oddVBand="0" w:evenVBand="0" w:oddHBand="0" w:evenHBand="0" w:firstRowFirstColumn="0" w:firstRowLastColumn="0" w:lastRowFirstColumn="0" w:lastRowLastColumn="0"/>
            <w:tcW w:w="3120" w:type="dxa"/>
          </w:tcPr>
          <w:p w14:paraId="18076463" w14:textId="77777777" w:rsidR="00760BEE" w:rsidRDefault="00000000" w:rsidP="001B38D1">
            <w:pPr>
              <w:jc w:val="center"/>
            </w:pPr>
            <w:r>
              <w:t>Monthly debt service</w:t>
            </w:r>
          </w:p>
        </w:tc>
        <w:tc>
          <w:tcPr>
            <w:tcW w:w="3120" w:type="dxa"/>
          </w:tcPr>
          <w:p w14:paraId="6EA2EFDF"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US$1,304</w:t>
            </w:r>
          </w:p>
        </w:tc>
        <w:tc>
          <w:tcPr>
            <w:tcW w:w="3120" w:type="dxa"/>
          </w:tcPr>
          <w:p w14:paraId="7BD929E8"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~US$3,804 (est. at 14%)</w:t>
            </w:r>
          </w:p>
        </w:tc>
      </w:tr>
    </w:tbl>
    <w:p w14:paraId="37D3E8C3" w14:textId="6057F4AA" w:rsidR="00760BEE" w:rsidRDefault="00000000">
      <w:r>
        <w:t>Source: Constructed from case Exhibits 1–4 and 7.</w:t>
      </w:r>
    </w:p>
    <w:p w14:paraId="57956398" w14:textId="77777777" w:rsidR="00760BEE" w:rsidRDefault="00000000">
      <w:pPr>
        <w:pStyle w:val="BodyText"/>
      </w:pPr>
      <w:r>
        <w:rPr>
          <w:b/>
        </w:rPr>
        <w:t>Exhibit TN-2: SEW Dimensions Applied to Sai Tex</w:t>
      </w:r>
    </w:p>
    <w:tbl>
      <w:tblPr>
        <w:tblStyle w:val="PlainTable1"/>
        <w:tblW w:w="0" w:type="auto"/>
        <w:tblLook w:val="04A0" w:firstRow="1" w:lastRow="0" w:firstColumn="1" w:lastColumn="0" w:noHBand="0" w:noVBand="1"/>
      </w:tblPr>
      <w:tblGrid>
        <w:gridCol w:w="3126"/>
        <w:gridCol w:w="3126"/>
        <w:gridCol w:w="3126"/>
      </w:tblGrid>
      <w:tr w:rsidR="00760BEE" w14:paraId="4A4375AA" w14:textId="77777777" w:rsidTr="001B38D1">
        <w:trPr>
          <w:cnfStyle w:val="100000000000" w:firstRow="1" w:lastRow="0" w:firstColumn="0" w:lastColumn="0" w:oddVBand="0" w:evenVBand="0" w:oddHBand="0"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3126" w:type="dxa"/>
            <w:shd w:val="clear" w:color="auto" w:fill="C1F0C7" w:themeFill="accent3" w:themeFillTint="33"/>
          </w:tcPr>
          <w:p w14:paraId="191AA77F" w14:textId="77777777" w:rsidR="00760BEE" w:rsidRDefault="00000000" w:rsidP="001B38D1">
            <w:pPr>
              <w:jc w:val="center"/>
            </w:pPr>
            <w:r>
              <w:t>SEW Dimension (Berrone et al., 2012)</w:t>
            </w:r>
          </w:p>
        </w:tc>
        <w:tc>
          <w:tcPr>
            <w:tcW w:w="3126" w:type="dxa"/>
            <w:shd w:val="clear" w:color="auto" w:fill="C1F0C7" w:themeFill="accent3" w:themeFillTint="33"/>
          </w:tcPr>
          <w:p w14:paraId="2E986E7B"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Manifestation in Sai Tex</w:t>
            </w:r>
          </w:p>
        </w:tc>
        <w:tc>
          <w:tcPr>
            <w:tcW w:w="3126" w:type="dxa"/>
            <w:shd w:val="clear" w:color="auto" w:fill="C1F0C7" w:themeFill="accent3" w:themeFillTint="33"/>
          </w:tcPr>
          <w:p w14:paraId="28D33921"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Impact on Decision</w:t>
            </w:r>
          </w:p>
        </w:tc>
      </w:tr>
      <w:tr w:rsidR="00760BEE" w14:paraId="73286DCB" w14:textId="77777777" w:rsidTr="001B38D1">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3126" w:type="dxa"/>
            <w:shd w:val="clear" w:color="auto" w:fill="auto"/>
          </w:tcPr>
          <w:p w14:paraId="1905C9F6" w14:textId="77777777" w:rsidR="00760BEE" w:rsidRDefault="00000000" w:rsidP="001B38D1">
            <w:pPr>
              <w:jc w:val="center"/>
            </w:pPr>
            <w:r>
              <w:t>Family control and influence</w:t>
            </w:r>
          </w:p>
        </w:tc>
        <w:tc>
          <w:tcPr>
            <w:tcW w:w="3126" w:type="dxa"/>
            <w:shd w:val="clear" w:color="auto" w:fill="auto"/>
          </w:tcPr>
          <w:p w14:paraId="0E21959F"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Patil is sole proprietor; all decisions are his</w:t>
            </w:r>
          </w:p>
        </w:tc>
        <w:tc>
          <w:tcPr>
            <w:tcW w:w="3126" w:type="dxa"/>
            <w:shd w:val="clear" w:color="auto" w:fill="auto"/>
          </w:tcPr>
          <w:p w14:paraId="3975B187"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Option A requires pledging family bungalow, transfers control to bank</w:t>
            </w:r>
          </w:p>
        </w:tc>
      </w:tr>
      <w:tr w:rsidR="00760BEE" w14:paraId="4D1D33A3" w14:textId="77777777" w:rsidTr="001B38D1">
        <w:trPr>
          <w:trHeight w:val="965"/>
        </w:trPr>
        <w:tc>
          <w:tcPr>
            <w:cnfStyle w:val="001000000000" w:firstRow="0" w:lastRow="0" w:firstColumn="1" w:lastColumn="0" w:oddVBand="0" w:evenVBand="0" w:oddHBand="0" w:evenHBand="0" w:firstRowFirstColumn="0" w:firstRowLastColumn="0" w:lastRowFirstColumn="0" w:lastRowLastColumn="0"/>
            <w:tcW w:w="3126" w:type="dxa"/>
          </w:tcPr>
          <w:p w14:paraId="7108F835" w14:textId="77777777" w:rsidR="00760BEE" w:rsidRDefault="00000000" w:rsidP="001B38D1">
            <w:pPr>
              <w:jc w:val="center"/>
            </w:pPr>
            <w:r>
              <w:t>Identification with the firm</w:t>
            </w:r>
          </w:p>
        </w:tc>
        <w:tc>
          <w:tcPr>
            <w:tcW w:w="3126" w:type="dxa"/>
          </w:tcPr>
          <w:p w14:paraId="00270604"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"The mill was not merely a business but an extension of Patil's identity"</w:t>
            </w:r>
          </w:p>
        </w:tc>
        <w:tc>
          <w:tcPr>
            <w:tcW w:w="3126" w:type="dxa"/>
          </w:tcPr>
          <w:p w14:paraId="741E6532"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Makes Option C (exit) psychologically unacceptable</w:t>
            </w:r>
          </w:p>
        </w:tc>
      </w:tr>
      <w:tr w:rsidR="00760BEE" w14:paraId="3102E768" w14:textId="77777777" w:rsidTr="001B38D1">
        <w:trPr>
          <w:cnfStyle w:val="000000100000" w:firstRow="0" w:lastRow="0" w:firstColumn="0" w:lastColumn="0" w:oddVBand="0" w:evenVBand="0" w:oddHBand="1" w:evenHBand="0" w:firstRowFirstColumn="0" w:firstRowLastColumn="0" w:lastRowFirstColumn="0" w:lastRowLastColumn="0"/>
          <w:trHeight w:val="1302"/>
        </w:trPr>
        <w:tc>
          <w:tcPr>
            <w:cnfStyle w:val="001000000000" w:firstRow="0" w:lastRow="0" w:firstColumn="1" w:lastColumn="0" w:oddVBand="0" w:evenVBand="0" w:oddHBand="0" w:evenHBand="0" w:firstRowFirstColumn="0" w:firstRowLastColumn="0" w:lastRowFirstColumn="0" w:lastRowLastColumn="0"/>
            <w:tcW w:w="3126" w:type="dxa"/>
            <w:shd w:val="clear" w:color="auto" w:fill="auto"/>
          </w:tcPr>
          <w:p w14:paraId="7452E1D5" w14:textId="77777777" w:rsidR="00760BEE" w:rsidRDefault="00000000" w:rsidP="001B38D1">
            <w:pPr>
              <w:jc w:val="center"/>
            </w:pPr>
            <w:r>
              <w:t>Binding social ties</w:t>
            </w:r>
          </w:p>
        </w:tc>
        <w:tc>
          <w:tcPr>
            <w:tcW w:w="3126" w:type="dxa"/>
            <w:shd w:val="clear" w:color="auto" w:fill="auto"/>
          </w:tcPr>
          <w:p w14:paraId="2AAE9E9E"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12 permanent employees; Shivmani Mishra since founding; school fee support</w:t>
            </w:r>
          </w:p>
        </w:tc>
        <w:tc>
          <w:tcPr>
            <w:tcW w:w="3126" w:type="dxa"/>
            <w:shd w:val="clear" w:color="auto" w:fill="auto"/>
          </w:tcPr>
          <w:p w14:paraId="0807DF01"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Creates obligation that pure financial analysis ignores</w:t>
            </w:r>
          </w:p>
        </w:tc>
      </w:tr>
      <w:tr w:rsidR="00760BEE" w14:paraId="1F7BBA42" w14:textId="77777777" w:rsidTr="001B38D1">
        <w:trPr>
          <w:trHeight w:val="1302"/>
        </w:trPr>
        <w:tc>
          <w:tcPr>
            <w:cnfStyle w:val="001000000000" w:firstRow="0" w:lastRow="0" w:firstColumn="1" w:lastColumn="0" w:oddVBand="0" w:evenVBand="0" w:oddHBand="0" w:evenHBand="0" w:firstRowFirstColumn="0" w:firstRowLastColumn="0" w:lastRowFirstColumn="0" w:lastRowLastColumn="0"/>
            <w:tcW w:w="3126" w:type="dxa"/>
          </w:tcPr>
          <w:p w14:paraId="5774438B" w14:textId="77777777" w:rsidR="00760BEE" w:rsidRDefault="00000000" w:rsidP="001B38D1">
            <w:pPr>
              <w:jc w:val="center"/>
            </w:pPr>
            <w:r>
              <w:t>Emotional attachment</w:t>
            </w:r>
          </w:p>
        </w:tc>
        <w:tc>
          <w:tcPr>
            <w:tcW w:w="3126" w:type="dxa"/>
          </w:tcPr>
          <w:p w14:paraId="224FFF45"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Father's legacy: "If you have the means to give someone a livelihood, you have the duty to do it"</w:t>
            </w:r>
          </w:p>
        </w:tc>
        <w:tc>
          <w:tcPr>
            <w:tcW w:w="3126" w:type="dxa"/>
          </w:tcPr>
          <w:p w14:paraId="7200B063"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Weighs against exit even when financially rational</w:t>
            </w:r>
          </w:p>
        </w:tc>
      </w:tr>
      <w:tr w:rsidR="00760BEE" w14:paraId="6616A122" w14:textId="77777777" w:rsidTr="001B38D1">
        <w:trPr>
          <w:cnfStyle w:val="000000100000" w:firstRow="0" w:lastRow="0" w:firstColumn="0" w:lastColumn="0" w:oddVBand="0" w:evenVBand="0" w:oddHBand="1" w:evenHBand="0" w:firstRowFirstColumn="0" w:firstRowLastColumn="0" w:lastRowFirstColumn="0" w:lastRowLastColumn="0"/>
          <w:trHeight w:val="1302"/>
        </w:trPr>
        <w:tc>
          <w:tcPr>
            <w:cnfStyle w:val="001000000000" w:firstRow="0" w:lastRow="0" w:firstColumn="1" w:lastColumn="0" w:oddVBand="0" w:evenVBand="0" w:oddHBand="0" w:evenHBand="0" w:firstRowFirstColumn="0" w:firstRowLastColumn="0" w:lastRowFirstColumn="0" w:lastRowLastColumn="0"/>
            <w:tcW w:w="3126" w:type="dxa"/>
            <w:shd w:val="clear" w:color="auto" w:fill="auto"/>
          </w:tcPr>
          <w:p w14:paraId="68A525DB" w14:textId="77777777" w:rsidR="00760BEE" w:rsidRDefault="00000000" w:rsidP="001B38D1">
            <w:pPr>
              <w:jc w:val="center"/>
            </w:pPr>
            <w:r>
              <w:t>Renewal through dynastic succession</w:t>
            </w:r>
          </w:p>
        </w:tc>
        <w:tc>
          <w:tcPr>
            <w:tcW w:w="3126" w:type="dxa"/>
            <w:shd w:val="clear" w:color="auto" w:fill="auto"/>
          </w:tcPr>
          <w:p w14:paraId="22AA1F06"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First-generation firm; bungalow = intergenerational family wealth</w:t>
            </w:r>
          </w:p>
        </w:tc>
        <w:tc>
          <w:tcPr>
            <w:tcW w:w="3126" w:type="dxa"/>
            <w:shd w:val="clear" w:color="auto" w:fill="auto"/>
          </w:tcPr>
          <w:p w14:paraId="7374E233"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Option A risks the family's primary non-business asset</w:t>
            </w:r>
          </w:p>
        </w:tc>
      </w:tr>
    </w:tbl>
    <w:p w14:paraId="0D3070B1" w14:textId="77777777" w:rsidR="00760BEE" w:rsidRDefault="00000000">
      <w:r>
        <w:t>Source: SEW framework from Gómez-Mejía et al. (2007) and Berrone et al. (2012), applied to case data.</w:t>
      </w:r>
    </w:p>
    <w:p w14:paraId="165FF9E4" w14:textId="77777777" w:rsidR="00760BEE" w:rsidRDefault="00000000">
      <w:pPr>
        <w:pStyle w:val="BodyText"/>
      </w:pPr>
      <w:r>
        <w:rPr>
          <w:b/>
        </w:rPr>
        <w:t>Exhibit TN-3: Theory of Constraints, Binding Constraint Identification</w:t>
      </w:r>
    </w:p>
    <w:tbl>
      <w:tblPr>
        <w:tblStyle w:val="PlainTable1"/>
        <w:tblW w:w="0" w:type="auto"/>
        <w:tblLook w:val="04A0" w:firstRow="1" w:lastRow="0" w:firstColumn="1" w:lastColumn="0" w:noHBand="0" w:noVBand="1"/>
      </w:tblPr>
      <w:tblGrid>
        <w:gridCol w:w="2354"/>
        <w:gridCol w:w="2354"/>
        <w:gridCol w:w="2354"/>
        <w:gridCol w:w="2354"/>
      </w:tblGrid>
      <w:tr w:rsidR="00760BEE" w14:paraId="3DF9B71F" w14:textId="77777777" w:rsidTr="001B38D1">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354" w:type="dxa"/>
            <w:shd w:val="clear" w:color="auto" w:fill="C1F0C7" w:themeFill="accent3" w:themeFillTint="33"/>
          </w:tcPr>
          <w:p w14:paraId="7B024D28" w14:textId="77777777" w:rsidR="00760BEE" w:rsidRDefault="00000000" w:rsidP="001B38D1">
            <w:pPr>
              <w:jc w:val="center"/>
            </w:pPr>
            <w:r>
              <w:lastRenderedPageBreak/>
              <w:t>Candidate</w:t>
            </w:r>
          </w:p>
        </w:tc>
        <w:tc>
          <w:tcPr>
            <w:tcW w:w="2354" w:type="dxa"/>
            <w:shd w:val="clear" w:color="auto" w:fill="C1F0C7" w:themeFill="accent3" w:themeFillTint="33"/>
          </w:tcPr>
          <w:p w14:paraId="2256F39D"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Evidence For</w:t>
            </w:r>
          </w:p>
        </w:tc>
        <w:tc>
          <w:tcPr>
            <w:tcW w:w="2354" w:type="dxa"/>
            <w:shd w:val="clear" w:color="auto" w:fill="C1F0C7" w:themeFill="accent3" w:themeFillTint="33"/>
          </w:tcPr>
          <w:p w14:paraId="7CCCA014"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Evidence Against</w:t>
            </w:r>
          </w:p>
        </w:tc>
        <w:tc>
          <w:tcPr>
            <w:tcW w:w="2354" w:type="dxa"/>
            <w:shd w:val="clear" w:color="auto" w:fill="C1F0C7" w:themeFill="accent3" w:themeFillTint="33"/>
          </w:tcPr>
          <w:p w14:paraId="51261B7F" w14:textId="77777777" w:rsidR="00760BEE" w:rsidRDefault="00000000" w:rsidP="001B38D1">
            <w:pPr>
              <w:jc w:val="center"/>
              <w:cnfStyle w:val="100000000000" w:firstRow="1" w:lastRow="0" w:firstColumn="0" w:lastColumn="0" w:oddVBand="0" w:evenVBand="0" w:oddHBand="0" w:evenHBand="0" w:firstRowFirstColumn="0" w:firstRowLastColumn="0" w:lastRowFirstColumn="0" w:lastRowLastColumn="0"/>
            </w:pPr>
            <w:r>
              <w:t>Verdict</w:t>
            </w:r>
          </w:p>
        </w:tc>
      </w:tr>
      <w:tr w:rsidR="00760BEE" w14:paraId="1029D2C8" w14:textId="77777777" w:rsidTr="001B38D1">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2354" w:type="dxa"/>
            <w:shd w:val="clear" w:color="auto" w:fill="auto"/>
          </w:tcPr>
          <w:p w14:paraId="2FF2EDE4" w14:textId="77777777" w:rsidR="00760BEE" w:rsidRDefault="00000000" w:rsidP="001B38D1">
            <w:pPr>
              <w:jc w:val="center"/>
            </w:pPr>
            <w:r>
              <w:t>Technology</w:t>
            </w:r>
          </w:p>
        </w:tc>
        <w:tc>
          <w:tcPr>
            <w:tcW w:w="2354" w:type="dxa"/>
            <w:shd w:val="clear" w:color="auto" w:fill="auto"/>
          </w:tcPr>
          <w:p w14:paraId="159CFE33"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300 vs 1,200 RPM; 4x throughput gap</w:t>
            </w:r>
          </w:p>
        </w:tc>
        <w:tc>
          <w:tcPr>
            <w:tcW w:w="2354" w:type="dxa"/>
            <w:shd w:val="clear" w:color="auto" w:fill="auto"/>
          </w:tcPr>
          <w:p w14:paraId="42D0B11C"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Current machines at only 50% capacity</w:t>
            </w:r>
          </w:p>
        </w:tc>
        <w:tc>
          <w:tcPr>
            <w:tcW w:w="2354" w:type="dxa"/>
            <w:shd w:val="clear" w:color="auto" w:fill="auto"/>
          </w:tcPr>
          <w:p w14:paraId="5B275D0E"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Root cause, drives all downstream constraints</w:t>
            </w:r>
          </w:p>
        </w:tc>
      </w:tr>
      <w:tr w:rsidR="00760BEE" w14:paraId="23ECB1E2" w14:textId="77777777" w:rsidTr="001B38D1">
        <w:trPr>
          <w:trHeight w:val="1632"/>
        </w:trPr>
        <w:tc>
          <w:tcPr>
            <w:cnfStyle w:val="001000000000" w:firstRow="0" w:lastRow="0" w:firstColumn="1" w:lastColumn="0" w:oddVBand="0" w:evenVBand="0" w:oddHBand="0" w:evenHBand="0" w:firstRowFirstColumn="0" w:firstRowLastColumn="0" w:lastRowFirstColumn="0" w:lastRowLastColumn="0"/>
            <w:tcW w:w="2354" w:type="dxa"/>
          </w:tcPr>
          <w:p w14:paraId="2F87FD54" w14:textId="18AA8E0D" w:rsidR="00760BEE" w:rsidRDefault="00A060D2" w:rsidP="001B38D1">
            <w:pPr>
              <w:jc w:val="center"/>
            </w:pPr>
            <w:r>
              <w:t>Labor</w:t>
            </w:r>
          </w:p>
        </w:tc>
        <w:tc>
          <w:tcPr>
            <w:tcW w:w="2354" w:type="dxa"/>
          </w:tcPr>
          <w:p w14:paraId="0F0E3B9D"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50% utilisation; workers leaving for ~10% higher wages at upgraded mills</w:t>
            </w:r>
          </w:p>
        </w:tc>
        <w:tc>
          <w:tcPr>
            <w:tcW w:w="2354" w:type="dxa"/>
          </w:tcPr>
          <w:p w14:paraId="30119D13" w14:textId="57B037DA" w:rsidR="00760BEE" w:rsidRDefault="00A060D2" w:rsidP="001B38D1">
            <w:pPr>
              <w:jc w:val="center"/>
              <w:cnfStyle w:val="000000000000" w:firstRow="0" w:lastRow="0" w:firstColumn="0" w:lastColumn="0" w:oddVBand="0" w:evenVBand="0" w:oddHBand="0" w:evenHBand="0" w:firstRowFirstColumn="0" w:firstRowLastColumn="0" w:lastRowFirstColumn="0" w:lastRowLastColumn="0"/>
            </w:pPr>
            <w:r>
              <w:t>Labor attrition is a consequence of the wage gap created by lower margins on older machines</w:t>
            </w:r>
          </w:p>
        </w:tc>
        <w:tc>
          <w:tcPr>
            <w:tcW w:w="2354" w:type="dxa"/>
          </w:tcPr>
          <w:p w14:paraId="2EC3ADBB"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Derived constraint (symptom of technology gap)</w:t>
            </w:r>
          </w:p>
        </w:tc>
      </w:tr>
      <w:tr w:rsidR="00760BEE" w14:paraId="4F0860EB" w14:textId="77777777" w:rsidTr="001B38D1">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2354" w:type="dxa"/>
            <w:shd w:val="clear" w:color="auto" w:fill="auto"/>
          </w:tcPr>
          <w:p w14:paraId="4A70E180" w14:textId="77777777" w:rsidR="00760BEE" w:rsidRDefault="00000000" w:rsidP="001B38D1">
            <w:pPr>
              <w:jc w:val="center"/>
            </w:pPr>
            <w:r>
              <w:t>Market access</w:t>
            </w:r>
          </w:p>
        </w:tc>
        <w:tc>
          <w:tcPr>
            <w:tcW w:w="2354" w:type="dxa"/>
            <w:shd w:val="clear" w:color="auto" w:fill="auto"/>
          </w:tcPr>
          <w:p w14:paraId="6787C064"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Job-work rate below break-even; no pricing power</w:t>
            </w:r>
          </w:p>
        </w:tc>
        <w:tc>
          <w:tcPr>
            <w:tcW w:w="2354" w:type="dxa"/>
            <w:shd w:val="clear" w:color="auto" w:fill="auto"/>
          </w:tcPr>
          <w:p w14:paraId="5DECB4D0"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Sale-purchase model changes market access entirely</w:t>
            </w:r>
          </w:p>
        </w:tc>
        <w:tc>
          <w:tcPr>
            <w:tcW w:w="2354" w:type="dxa"/>
            <w:shd w:val="clear" w:color="auto" w:fill="auto"/>
          </w:tcPr>
          <w:p w14:paraId="5CE16C66" w14:textId="77777777" w:rsidR="00760BEE" w:rsidRDefault="00000000" w:rsidP="001B38D1">
            <w:pPr>
              <w:jc w:val="center"/>
              <w:cnfStyle w:val="000000100000" w:firstRow="0" w:lastRow="0" w:firstColumn="0" w:lastColumn="0" w:oddVBand="0" w:evenVBand="0" w:oddHBand="1" w:evenHBand="0" w:firstRowFirstColumn="0" w:firstRowLastColumn="0" w:lastRowFirstColumn="0" w:lastRowLastColumn="0"/>
            </w:pPr>
            <w:r>
              <w:t>Model-dependent constraint</w:t>
            </w:r>
          </w:p>
        </w:tc>
      </w:tr>
      <w:tr w:rsidR="00760BEE" w14:paraId="753DE95A" w14:textId="77777777" w:rsidTr="001B38D1">
        <w:trPr>
          <w:trHeight w:val="1296"/>
        </w:trPr>
        <w:tc>
          <w:tcPr>
            <w:cnfStyle w:val="001000000000" w:firstRow="0" w:lastRow="0" w:firstColumn="1" w:lastColumn="0" w:oddVBand="0" w:evenVBand="0" w:oddHBand="0" w:evenHBand="0" w:firstRowFirstColumn="0" w:firstRowLastColumn="0" w:lastRowFirstColumn="0" w:lastRowLastColumn="0"/>
            <w:tcW w:w="2354" w:type="dxa"/>
          </w:tcPr>
          <w:p w14:paraId="0F7AE560" w14:textId="77777777" w:rsidR="00760BEE" w:rsidRDefault="00000000" w:rsidP="001B38D1">
            <w:pPr>
              <w:jc w:val="center"/>
            </w:pPr>
            <w:r>
              <w:t>Capital</w:t>
            </w:r>
          </w:p>
        </w:tc>
        <w:tc>
          <w:tcPr>
            <w:tcW w:w="2354" w:type="dxa"/>
          </w:tcPr>
          <w:p w14:paraId="78BE4AB8"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US$130,435 debt; 14% rate; bungalow as collateral</w:t>
            </w:r>
          </w:p>
        </w:tc>
        <w:tc>
          <w:tcPr>
            <w:tcW w:w="2354" w:type="dxa"/>
          </w:tcPr>
          <w:p w14:paraId="3745738C"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MAHA-TUFS subsidy could offset 25%; capital available if collateral pledged</w:t>
            </w:r>
          </w:p>
        </w:tc>
        <w:tc>
          <w:tcPr>
            <w:tcW w:w="2354" w:type="dxa"/>
          </w:tcPr>
          <w:p w14:paraId="7E6EA1B0" w14:textId="77777777" w:rsidR="00760BEE" w:rsidRDefault="00000000" w:rsidP="001B38D1">
            <w:pPr>
              <w:jc w:val="center"/>
              <w:cnfStyle w:val="000000000000" w:firstRow="0" w:lastRow="0" w:firstColumn="0" w:lastColumn="0" w:oddVBand="0" w:evenVBand="0" w:oddHBand="0" w:evenHBand="0" w:firstRowFirstColumn="0" w:firstRowLastColumn="0" w:lastRowFirstColumn="0" w:lastRowLastColumn="0"/>
            </w:pPr>
            <w:r>
              <w:t>Binding but relaxable</w:t>
            </w:r>
          </w:p>
        </w:tc>
      </w:tr>
    </w:tbl>
    <w:p w14:paraId="632E0AAB" w14:textId="3726B12B" w:rsidR="00760BEE" w:rsidRDefault="00000000">
      <w:r>
        <w:t xml:space="preserve">Technology is the root constraint. </w:t>
      </w:r>
      <w:r w:rsidR="00A060D2">
        <w:t>Labor</w:t>
      </w:r>
      <w:r>
        <w:t>, market, and capital constraints are all downstream effects. Breaking the cycle requires addressing the root (technology upgrade), not the symptoms.</w:t>
      </w:r>
    </w:p>
    <w:p w14:paraId="785C2E64" w14:textId="77777777" w:rsidR="00760BEE" w:rsidRDefault="00000000">
      <w:r>
        <w:t>Source: Goldratt's Theory of Constraints (2004) applied to case data.</w:t>
      </w:r>
    </w:p>
    <w:p w14:paraId="06981828" w14:textId="77777777" w:rsidR="001B38D1" w:rsidRDefault="001B38D1" w:rsidP="001B38D1">
      <w:pPr>
        <w:spacing w:after="240"/>
        <w:rPr>
          <w:rFonts w:ascii="Arial" w:eastAsia="Times New Roman" w:hAnsi="Arial" w:cs="Arial"/>
          <w:b/>
          <w:bCs/>
          <w:color w:val="000000"/>
          <w:sz w:val="21"/>
          <w:szCs w:val="21"/>
          <w:lang w:eastAsia="en-US"/>
        </w:rPr>
      </w:pPr>
      <w:r w:rsidRPr="001B38D1">
        <w:rPr>
          <w:rFonts w:ascii="Arial" w:eastAsia="Times New Roman" w:hAnsi="Arial" w:cs="Arial"/>
          <w:b/>
          <w:bCs/>
          <w:color w:val="000000"/>
          <w:sz w:val="21"/>
          <w:szCs w:val="21"/>
          <w:lang w:eastAsia="en-US"/>
        </w:rPr>
        <w:t>Exhibit TN-4: THE RED QUEEN VICIOUS CYCLE — SAI TEX'S SELF-REINFORCING DECLINE</w:t>
      </w:r>
    </w:p>
    <w:p w14:paraId="263336D1" w14:textId="4AD20A46" w:rsidR="00A060D2" w:rsidRPr="001B38D1" w:rsidRDefault="00A060D2" w:rsidP="001B38D1">
      <w:pPr>
        <w:spacing w:after="240"/>
        <w:rPr>
          <w:rFonts w:ascii="Times New Roman" w:eastAsia="Times New Roman" w:hAnsi="Times New Roman" w:cs="Times New Roman"/>
          <w:color w:val="000000"/>
          <w:lang w:eastAsia="en-US"/>
        </w:rPr>
      </w:pPr>
      <w:r>
        <w:rPr>
          <w:rFonts w:ascii="Times New Roman" w:eastAsia="Times New Roman" w:hAnsi="Times New Roman" w:cs="Times New Roman"/>
          <w:color w:val="000000"/>
          <w:lang w:eastAsia="en-US"/>
        </w:rPr>
        <w:lastRenderedPageBreak/>
        <w:br/>
      </w:r>
      <w:r w:rsidRPr="00A060D2">
        <w:rPr>
          <w:rFonts w:ascii="Times New Roman" w:eastAsia="Times New Roman" w:hAnsi="Times New Roman" w:cs="Times New Roman"/>
          <w:noProof/>
          <w:color w:val="000000"/>
          <w:lang w:eastAsia="en-US"/>
        </w:rPr>
        <w:drawing>
          <wp:inline distT="0" distB="0" distL="0" distR="0" wp14:anchorId="68837659" wp14:editId="3A8680D4">
            <wp:extent cx="5943600" cy="4328160"/>
            <wp:effectExtent l="0" t="0" r="0" b="0"/>
            <wp:docPr id="12435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5709" name=""/>
                    <pic:cNvPicPr/>
                  </pic:nvPicPr>
                  <pic:blipFill>
                    <a:blip r:embed="rId8"/>
                    <a:stretch>
                      <a:fillRect/>
                    </a:stretch>
                  </pic:blipFill>
                  <pic:spPr>
                    <a:xfrm>
                      <a:off x="0" y="0"/>
                      <a:ext cx="5943600" cy="4328160"/>
                    </a:xfrm>
                    <a:prstGeom prst="rect">
                      <a:avLst/>
                    </a:prstGeom>
                  </pic:spPr>
                </pic:pic>
              </a:graphicData>
            </a:graphic>
          </wp:inline>
        </w:drawing>
      </w:r>
    </w:p>
    <w:p w14:paraId="5AF77B47" w14:textId="77777777" w:rsidR="001B38D1" w:rsidRPr="001B38D1" w:rsidRDefault="001B38D1" w:rsidP="001B38D1">
      <w:pPr>
        <w:spacing w:after="0"/>
        <w:rPr>
          <w:rFonts w:ascii="Times New Roman" w:eastAsia="Times New Roman" w:hAnsi="Times New Roman" w:cs="Times New Roman"/>
          <w:lang w:eastAsia="en-US"/>
        </w:rPr>
      </w:pPr>
    </w:p>
    <w:p w14:paraId="1BFEFFEC" w14:textId="77777777" w:rsidR="001B38D1" w:rsidRDefault="001B38D1"/>
    <w:p w14:paraId="282F8DBF" w14:textId="1D53D0E2" w:rsidR="00760BEE" w:rsidRDefault="00760BEE">
      <w:pPr>
        <w:pStyle w:val="BodyText"/>
      </w:pPr>
    </w:p>
    <w:sectPr w:rsidR="00760BE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71BD" w14:textId="77777777" w:rsidR="004723A0" w:rsidRDefault="004723A0">
      <w:pPr>
        <w:spacing w:after="0"/>
      </w:pPr>
      <w:r>
        <w:separator/>
      </w:r>
    </w:p>
  </w:endnote>
  <w:endnote w:type="continuationSeparator" w:id="0">
    <w:p w14:paraId="0B8AE8F6" w14:textId="77777777" w:rsidR="004723A0" w:rsidRDefault="004723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13FC" w14:textId="77777777" w:rsidR="004723A0" w:rsidRDefault="004723A0">
      <w:pPr>
        <w:spacing w:after="0"/>
      </w:pPr>
      <w:r>
        <w:separator/>
      </w:r>
    </w:p>
  </w:footnote>
  <w:footnote w:type="continuationSeparator" w:id="0">
    <w:p w14:paraId="3ED40361" w14:textId="77777777" w:rsidR="004723A0" w:rsidRDefault="004723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124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73247C9"/>
    <w:multiLevelType w:val="hybridMultilevel"/>
    <w:tmpl w:val="1A046E96"/>
    <w:lvl w:ilvl="0" w:tplc="446C59E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4E0250"/>
    <w:multiLevelType w:val="multilevel"/>
    <w:tmpl w:val="C0B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644405">
    <w:abstractNumId w:val="0"/>
  </w:num>
  <w:num w:numId="2" w16cid:durableId="2145586046">
    <w:abstractNumId w:val="1"/>
  </w:num>
  <w:num w:numId="3" w16cid:durableId="821433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39E8"/>
    <w:rsid w:val="000C606C"/>
    <w:rsid w:val="0011369D"/>
    <w:rsid w:val="001B38D1"/>
    <w:rsid w:val="001D5618"/>
    <w:rsid w:val="0044347A"/>
    <w:rsid w:val="004723A0"/>
    <w:rsid w:val="00584A6A"/>
    <w:rsid w:val="0060173B"/>
    <w:rsid w:val="00694C48"/>
    <w:rsid w:val="006B3F8B"/>
    <w:rsid w:val="00760BEE"/>
    <w:rsid w:val="0082003C"/>
    <w:rsid w:val="008622E6"/>
    <w:rsid w:val="009125FB"/>
    <w:rsid w:val="00A060D2"/>
    <w:rsid w:val="00AC5C10"/>
    <w:rsid w:val="00B249B8"/>
    <w:rsid w:val="00C66DCE"/>
    <w:rsid w:val="00CB39E8"/>
    <w:rsid w:val="00DA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D1A6"/>
  <w15:docId w15:val="{B189C64D-59FD-604D-9DA9-DDA6DDE4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4347A"/>
    <w:pPr>
      <w:spacing w:before="100" w:beforeAutospacing="1" w:after="100" w:afterAutospacing="1"/>
    </w:pPr>
    <w:rPr>
      <w:rFonts w:ascii="Times New Roman" w:eastAsia="Times New Roman" w:hAnsi="Times New Roman" w:cs="Times New Roman"/>
      <w:lang w:eastAsia="en-US"/>
    </w:rPr>
  </w:style>
  <w:style w:type="table" w:styleId="TableGrid">
    <w:name w:val="Table Grid"/>
    <w:basedOn w:val="TableNormal"/>
    <w:rsid w:val="000C606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0C606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0C606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Normal"/>
    <w:rsid w:val="0011369D"/>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113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4248</Words>
  <Characters>24218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Patil, Prithviraj</cp:lastModifiedBy>
  <cp:revision>8</cp:revision>
  <dcterms:created xsi:type="dcterms:W3CDTF">2026-04-08T05:27:00Z</dcterms:created>
  <dcterms:modified xsi:type="dcterms:W3CDTF">2026-04-23T05:27:00Z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2026-04-14T02:38:39Z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42557fc1-ad3e-4e60-9dd0-2e7d4c11046a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