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0152"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i/>
          <w:iCs/>
          <w:sz w:val="22"/>
          <w:szCs w:val="22"/>
        </w:rPr>
        <w:t>Prithviraj Patil and Kakoli Sen</w:t>
      </w:r>
    </w:p>
    <w:p w14:paraId="5DE55E29"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i/>
          <w:iCs/>
          <w:sz w:val="22"/>
          <w:szCs w:val="22"/>
        </w:rPr>
        <w:t>Indian Institute of Management Sambalpur</w:t>
      </w:r>
    </w:p>
    <w:p w14:paraId="435A2DA6"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i/>
          <w:iCs/>
          <w:sz w:val="22"/>
          <w:szCs w:val="22"/>
        </w:rPr>
        <w:t xml:space="preserve">Prithviraj Patil and Kakoli Sen wrote this teaching note as an aid to instructors in the classroom use of the case Sai Tex Ltd.: A Red Queen's Race in Ichhalkaranji, </w:t>
      </w:r>
      <w:r w:rsidRPr="00B622DE">
        <w:rPr>
          <w:rFonts w:ascii="Times New Roman" w:hAnsi="Times New Roman" w:cs="Times New Roman"/>
          <w:sz w:val="22"/>
          <w:szCs w:val="22"/>
        </w:rPr>
        <w:t>**** no. [to be assigned] *****. This teaching note should not be used in any way that would prejudice the future use of the case.*</w:t>
      </w:r>
    </w:p>
    <w:p w14:paraId="7B524DA3" w14:textId="77777777" w:rsidR="00B622DE" w:rsidRDefault="00000000">
      <w:pPr>
        <w:pStyle w:val="BodyText"/>
        <w:rPr>
          <w:rFonts w:ascii="Times New Roman" w:hAnsi="Times New Roman" w:cs="Times New Roman"/>
          <w:i/>
          <w:iCs/>
          <w:sz w:val="22"/>
          <w:szCs w:val="22"/>
        </w:rPr>
      </w:pPr>
      <w:r w:rsidRPr="00B622DE">
        <w:rPr>
          <w:rFonts w:ascii="Times New Roman" w:hAnsi="Times New Roman" w:cs="Times New Roman"/>
          <w:i/>
          <w:iCs/>
          <w:sz w:val="22"/>
          <w:szCs w:val="22"/>
        </w:rPr>
        <w:t xml:space="preserve">This publication may not be transmitted, photocopied, digitized, or otherwise reproduced in any form or by any means without the permission of the copyright holder. Reproduction of this material is not covered under authorization by any reproduction rights organization. To order copies or request permission to reproduce materials, contact </w:t>
      </w:r>
      <w:r w:rsidR="00B622DE" w:rsidRPr="00B622DE">
        <w:rPr>
          <w:rFonts w:ascii="Times New Roman" w:hAnsi="Times New Roman" w:cs="Times New Roman"/>
          <w:i/>
          <w:iCs/>
          <w:sz w:val="22"/>
          <w:szCs w:val="22"/>
        </w:rPr>
        <w:t xml:space="preserve">Ivey Publishing. Ivey Business School, Western University, London, Ontario, Canada, N6G 0N1; (e) </w:t>
      </w:r>
      <w:hyperlink r:id="rId5" w:history="1">
        <w:r w:rsidR="00B622DE" w:rsidRPr="00B622DE">
          <w:rPr>
            <w:rStyle w:val="Hyperlink"/>
            <w:rFonts w:ascii="Times New Roman" w:hAnsi="Times New Roman" w:cs="Times New Roman"/>
            <w:i/>
            <w:iCs/>
            <w:sz w:val="22"/>
            <w:szCs w:val="22"/>
          </w:rPr>
          <w:t>cases@ivey.ca</w:t>
        </w:r>
      </w:hyperlink>
      <w:r w:rsidR="00B622DE" w:rsidRPr="00B622DE">
        <w:rPr>
          <w:rFonts w:ascii="Times New Roman" w:hAnsi="Times New Roman" w:cs="Times New Roman"/>
          <w:i/>
          <w:iCs/>
          <w:sz w:val="22"/>
          <w:szCs w:val="22"/>
        </w:rPr>
        <w:t xml:space="preserve">; </w:t>
      </w:r>
      <w:hyperlink r:id="rId6" w:history="1">
        <w:r w:rsidR="00B622DE" w:rsidRPr="00B622DE">
          <w:rPr>
            <w:rStyle w:val="Hyperlink"/>
            <w:rFonts w:ascii="Times New Roman" w:hAnsi="Times New Roman" w:cs="Times New Roman"/>
            <w:i/>
            <w:iCs/>
            <w:sz w:val="22"/>
            <w:szCs w:val="22"/>
          </w:rPr>
          <w:t>www.iveypublishing.ca</w:t>
        </w:r>
      </w:hyperlink>
      <w:r w:rsidR="00B622DE" w:rsidRPr="00B622DE">
        <w:rPr>
          <w:rFonts w:ascii="Times New Roman" w:hAnsi="Times New Roman" w:cs="Times New Roman"/>
          <w:i/>
          <w:iCs/>
          <w:sz w:val="22"/>
          <w:szCs w:val="22"/>
        </w:rPr>
        <w:t xml:space="preserve">. Please submit any errata to </w:t>
      </w:r>
      <w:hyperlink r:id="rId7" w:history="1">
        <w:r w:rsidR="00B622DE" w:rsidRPr="00B622DE">
          <w:rPr>
            <w:rStyle w:val="Hyperlink"/>
            <w:rFonts w:ascii="Times New Roman" w:hAnsi="Times New Roman" w:cs="Times New Roman"/>
            <w:i/>
            <w:iCs/>
            <w:sz w:val="22"/>
            <w:szCs w:val="22"/>
          </w:rPr>
          <w:t>publishcases@ivey.ca</w:t>
        </w:r>
      </w:hyperlink>
      <w:r w:rsidR="00B622DE" w:rsidRPr="00B622DE">
        <w:rPr>
          <w:rFonts w:ascii="Times New Roman" w:hAnsi="Times New Roman" w:cs="Times New Roman"/>
          <w:i/>
          <w:iCs/>
          <w:sz w:val="22"/>
          <w:szCs w:val="22"/>
        </w:rPr>
        <w:t>.</w:t>
      </w:r>
    </w:p>
    <w:p w14:paraId="1BB9697A" w14:textId="22E66235" w:rsidR="003038B6" w:rsidRPr="00B622DE" w:rsidRDefault="00B622DE">
      <w:pPr>
        <w:pStyle w:val="BodyText"/>
        <w:rPr>
          <w:rFonts w:ascii="Times New Roman" w:hAnsi="Times New Roman" w:cs="Times New Roman"/>
          <w:sz w:val="22"/>
          <w:szCs w:val="22"/>
        </w:rPr>
      </w:pPr>
      <w:r w:rsidRPr="00B622DE">
        <w:rPr>
          <w:rFonts w:ascii="Times New Roman" w:hAnsi="Times New Roman" w:cs="Times New Roman"/>
          <w:i/>
          <w:iCs/>
          <w:sz w:val="22"/>
          <w:szCs w:val="22"/>
        </w:rPr>
        <w:t xml:space="preserve"> </w:t>
      </w:r>
      <w:r w:rsidR="00000000" w:rsidRPr="00B622DE">
        <w:rPr>
          <w:rFonts w:ascii="Times New Roman" w:hAnsi="Times New Roman" w:cs="Times New Roman"/>
          <w:i/>
          <w:iCs/>
          <w:sz w:val="22"/>
          <w:szCs w:val="22"/>
        </w:rPr>
        <w:t>Copyright © 2026, Prithviraj Patil and Kakoli Sen</w:t>
      </w:r>
    </w:p>
    <w:p w14:paraId="33101B67" w14:textId="1F7963DF" w:rsidR="003038B6" w:rsidRDefault="00000000">
      <w:pPr>
        <w:pStyle w:val="Heading1"/>
      </w:pPr>
      <w:bookmarkStart w:id="0" w:name="sai-tex-ltd.-a-red-queens-racetn1"/>
      <w:r>
        <w:t>SAI TEX LTD.: A RED QUEEN'S RACE</w:t>
      </w:r>
    </w:p>
    <w:p w14:paraId="0BF80D19" w14:textId="77777777" w:rsidR="003038B6" w:rsidRDefault="00000000">
      <w:pPr>
        <w:pStyle w:val="Heading2"/>
      </w:pPr>
      <w:bookmarkStart w:id="1" w:name="teaching-note"/>
      <w:r>
        <w:t>Teaching Note</w:t>
      </w:r>
    </w:p>
    <w:p w14:paraId="19CAB0FD" w14:textId="77777777" w:rsidR="003038B6" w:rsidRDefault="00000000">
      <w:pPr>
        <w:pStyle w:val="Heading2"/>
      </w:pPr>
      <w:bookmarkStart w:id="2" w:name="synopsis"/>
      <w:bookmarkEnd w:id="1"/>
      <w:r>
        <w:t>Synopsis</w:t>
      </w:r>
    </w:p>
    <w:p w14:paraId="0FF496AE"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Avinash Kisanrao Patil, founder and sole proprietor of Sai Tex Ltd., a job-work power loom unit in Ichhalkaranji, Maharashtra, faces an existential decision in April 2026. His ten Rifa Electronic Rapier looms, purchased in 2010 for US$130,400 (INR 1.2 crore), are now 15 years old, operating at 300 RPM against the 1,200 RPM of modern air-jet looms that competitors have adopted. Three converging forces have pushed Sai Tex from a monthly profit of US$5,087 in 2023 to a monthly loss of US$261 in 2025: a 40 per cent collapse in fabric exports following US tariffs, a doubling of electricity costs, and accelerating migrant labor attrition to upgraded mills. Patil must choose among three options: (A) a US$472,826 "Green Technical Pivot" involving twelve new air-jet looms, a rooftop solar plant, and a shift to the sale-purchase business model, requiring his family bungalow as collateral; (B) a US$43,478 to US$54,348 retrofit of existing machines to buy two to three years of survival; or (C) liquidation and exit. The case provides detailed financial, production, and technology data across seven exhibits, enabling quantitative analysis of each option. It is designed for courses in entrepreneurship, operations strategy, MSME management, and family business at the MBA, executive education, and doctoral level.</w:t>
      </w:r>
    </w:p>
    <w:p w14:paraId="3545509A"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i/>
          <w:iCs/>
          <w:sz w:val="22"/>
          <w:szCs w:val="22"/>
        </w:rPr>
        <w:t>Note: US$1 ~ INR 92 (March 2026). All dollar figures in this teaching note use this rate.</w:t>
      </w:r>
    </w:p>
    <w:p w14:paraId="3F31F10C" w14:textId="77777777" w:rsidR="003038B6" w:rsidRDefault="00000000">
      <w:pPr>
        <w:pStyle w:val="Heading2"/>
      </w:pPr>
      <w:bookmarkStart w:id="3" w:name="learning-objectives"/>
      <w:bookmarkEnd w:id="2"/>
      <w:r>
        <w:t>Learning Objectives</w:t>
      </w:r>
    </w:p>
    <w:p w14:paraId="79F92FAC"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After reading and analyzing this case, students will be able to:</w:t>
      </w:r>
    </w:p>
    <w:p w14:paraId="67A6E347"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1. Evaluate strategic options under resource constraints using the financial and operational data provided in the case exhibits.</w:t>
      </w:r>
    </w:p>
    <w:p w14:paraId="0869F622"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2. Analyze how the Red Queen Effect operates in a traditional manufacturing cluster where firms must continuously invest in technology merely to maintain their competitive position.</w:t>
      </w:r>
    </w:p>
    <w:p w14:paraId="641439EF"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3. Compare the job-work model with the sale-purchase model and evaluate when a business model pivot is warranted.</w:t>
      </w:r>
    </w:p>
    <w:p w14:paraId="76FF7FE1"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lastRenderedPageBreak/>
        <w:t>4. Apply the Theory of Constraints to identify whether Sai Tex's binding constraint is technology, labor, market access, or capital.</w:t>
      </w:r>
    </w:p>
    <w:p w14:paraId="42D9D6D2"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5. Examine how socio-emotional wealth (SEW) shapes strategic choices in ways that diverge from purely financial optimization.</w:t>
      </w:r>
    </w:p>
    <w:p w14:paraId="3A130856" w14:textId="77777777" w:rsidR="003038B6" w:rsidRDefault="00000000">
      <w:pPr>
        <w:pStyle w:val="Heading2"/>
      </w:pPr>
      <w:bookmarkStart w:id="4" w:name="position-in-course"/>
      <w:bookmarkEnd w:id="3"/>
      <w:r>
        <w:t>Position in Course</w:t>
      </w:r>
    </w:p>
    <w:p w14:paraId="0733A11D"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The case is designed for graduate (MBA), executive education, and doctoral-level courses. It fits the following course areas:</w:t>
      </w:r>
    </w:p>
    <w:tbl>
      <w:tblPr>
        <w:tblStyle w:val="Table"/>
        <w:tblW w:w="5041" w:type="pct"/>
        <w:tblLayout w:type="fixed"/>
        <w:tblLook w:val="0020" w:firstRow="1" w:lastRow="0" w:firstColumn="0" w:lastColumn="0" w:noHBand="0" w:noVBand="0"/>
      </w:tblPr>
      <w:tblGrid>
        <w:gridCol w:w="9655"/>
      </w:tblGrid>
      <w:tr w:rsidR="003038B6" w14:paraId="6FB51964" w14:textId="77777777" w:rsidTr="003038B6">
        <w:trPr>
          <w:cnfStyle w:val="100000000000" w:firstRow="1" w:lastRow="0" w:firstColumn="0" w:lastColumn="0" w:oddVBand="0" w:evenVBand="0" w:oddHBand="0" w:evenHBand="0" w:firstRowFirstColumn="0" w:firstRowLastColumn="0" w:lastRowFirstColumn="0" w:lastRowLastColumn="0"/>
          <w:tblHeader/>
        </w:trPr>
        <w:tc>
          <w:tcPr>
            <w:tcW w:w="7984" w:type="dxa"/>
          </w:tcPr>
          <w:tbl>
            <w:tblPr>
              <w:tblStyle w:val="PlainTable2"/>
              <w:tblW w:w="4917" w:type="pct"/>
              <w:jc w:val="center"/>
              <w:tblLayout w:type="fixed"/>
              <w:tblLook w:val="0020" w:firstRow="1" w:lastRow="0" w:firstColumn="0" w:lastColumn="0" w:noHBand="0" w:noVBand="0"/>
            </w:tblPr>
            <w:tblGrid>
              <w:gridCol w:w="2805"/>
              <w:gridCol w:w="6467"/>
            </w:tblGrid>
            <w:tr w:rsidR="003038B6" w14:paraId="30AA4244" w14:textId="77777777" w:rsidTr="00B622D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56" w:type="dxa"/>
                  <w:shd w:val="clear" w:color="auto" w:fill="D9F2D0" w:themeFill="accent6" w:themeFillTint="33"/>
                </w:tcPr>
                <w:p w14:paraId="62B88F2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Course Area</w:t>
                  </w:r>
                </w:p>
              </w:tc>
              <w:tc>
                <w:tcPr>
                  <w:cnfStyle w:val="000001000000" w:firstRow="0" w:lastRow="0" w:firstColumn="0" w:lastColumn="0" w:oddVBand="0" w:evenVBand="1" w:oddHBand="0" w:evenHBand="0" w:firstRowFirstColumn="0" w:firstRowLastColumn="0" w:lastRowFirstColumn="0" w:lastRowLastColumn="0"/>
                  <w:tcW w:w="5432" w:type="dxa"/>
                  <w:shd w:val="clear" w:color="auto" w:fill="D9F2D0" w:themeFill="accent6" w:themeFillTint="33"/>
                </w:tcPr>
                <w:p w14:paraId="5D58BF28"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Specific Topic</w:t>
                  </w:r>
                </w:p>
              </w:tc>
            </w:tr>
            <w:tr w:rsidR="003038B6" w14:paraId="5A9C6F1C" w14:textId="77777777" w:rsidTr="00B622D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56" w:type="dxa"/>
                </w:tcPr>
                <w:p w14:paraId="0EBCF14A"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Entrepreneurship</w:t>
                  </w:r>
                </w:p>
              </w:tc>
              <w:tc>
                <w:tcPr>
                  <w:cnfStyle w:val="000001000000" w:firstRow="0" w:lastRow="0" w:firstColumn="0" w:lastColumn="0" w:oddVBand="0" w:evenVBand="1" w:oddHBand="0" w:evenHBand="0" w:firstRowFirstColumn="0" w:firstRowLastColumn="0" w:lastRowFirstColumn="0" w:lastRowLastColumn="0"/>
                  <w:tcW w:w="5432" w:type="dxa"/>
                </w:tcPr>
                <w:p w14:paraId="01815B6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MSME survival strategy; first-generation entrepreneur decision-making</w:t>
                  </w:r>
                </w:p>
              </w:tc>
            </w:tr>
            <w:tr w:rsidR="003038B6" w14:paraId="0637DEF3" w14:textId="77777777" w:rsidTr="00B622DE">
              <w:trPr>
                <w:jc w:val="center"/>
              </w:trPr>
              <w:tc>
                <w:tcPr>
                  <w:cnfStyle w:val="000010000000" w:firstRow="0" w:lastRow="0" w:firstColumn="0" w:lastColumn="0" w:oddVBand="1" w:evenVBand="0" w:oddHBand="0" w:evenHBand="0" w:firstRowFirstColumn="0" w:firstRowLastColumn="0" w:lastRowFirstColumn="0" w:lastRowLastColumn="0"/>
                  <w:tcW w:w="2356" w:type="dxa"/>
                </w:tcPr>
                <w:p w14:paraId="3E5F663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Operations Management / Strategy</w:t>
                  </w:r>
                </w:p>
              </w:tc>
              <w:tc>
                <w:tcPr>
                  <w:cnfStyle w:val="000001000000" w:firstRow="0" w:lastRow="0" w:firstColumn="0" w:lastColumn="0" w:oddVBand="0" w:evenVBand="1" w:oddHBand="0" w:evenHBand="0" w:firstRowFirstColumn="0" w:firstRowLastColumn="0" w:lastRowFirstColumn="0" w:lastRowLastColumn="0"/>
                  <w:tcW w:w="5432" w:type="dxa"/>
                </w:tcPr>
                <w:p w14:paraId="6CE0C6CF"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Technology adoption; capacity planning; Theory of Constraints</w:t>
                  </w:r>
                </w:p>
              </w:tc>
            </w:tr>
            <w:tr w:rsidR="003038B6" w14:paraId="18F0ED42" w14:textId="77777777" w:rsidTr="00B622D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56" w:type="dxa"/>
                </w:tcPr>
                <w:p w14:paraId="2870CB66"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Strategic Management</w:t>
                  </w:r>
                </w:p>
              </w:tc>
              <w:tc>
                <w:tcPr>
                  <w:cnfStyle w:val="000001000000" w:firstRow="0" w:lastRow="0" w:firstColumn="0" w:lastColumn="0" w:oddVBand="0" w:evenVBand="1" w:oddHBand="0" w:evenHBand="0" w:firstRowFirstColumn="0" w:firstRowLastColumn="0" w:lastRowFirstColumn="0" w:lastRowLastColumn="0"/>
                  <w:tcW w:w="5432" w:type="dxa"/>
                </w:tcPr>
                <w:p w14:paraId="0A37C79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Competitive dynamics in declining industries; Red Queen Effect</w:t>
                  </w:r>
                </w:p>
              </w:tc>
            </w:tr>
            <w:tr w:rsidR="003038B6" w14:paraId="046F9337" w14:textId="77777777" w:rsidTr="00B622DE">
              <w:trPr>
                <w:jc w:val="center"/>
              </w:trPr>
              <w:tc>
                <w:tcPr>
                  <w:cnfStyle w:val="000010000000" w:firstRow="0" w:lastRow="0" w:firstColumn="0" w:lastColumn="0" w:oddVBand="1" w:evenVBand="0" w:oddHBand="0" w:evenHBand="0" w:firstRowFirstColumn="0" w:firstRowLastColumn="0" w:lastRowFirstColumn="0" w:lastRowLastColumn="0"/>
                  <w:tcW w:w="2356" w:type="dxa"/>
                </w:tcPr>
                <w:p w14:paraId="6DCACB0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Family Business / SEW</w:t>
                  </w:r>
                </w:p>
              </w:tc>
              <w:tc>
                <w:tcPr>
                  <w:cnfStyle w:val="000001000000" w:firstRow="0" w:lastRow="0" w:firstColumn="0" w:lastColumn="0" w:oddVBand="0" w:evenVBand="1" w:oddHBand="0" w:evenHBand="0" w:firstRowFirstColumn="0" w:firstRowLastColumn="0" w:lastRowFirstColumn="0" w:lastRowLastColumn="0"/>
                  <w:tcW w:w="5432" w:type="dxa"/>
                </w:tcPr>
                <w:p w14:paraId="17DC95E8"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Socio-emotional wealth; non-financial goals in strategic choice</w:t>
                  </w:r>
                </w:p>
              </w:tc>
            </w:tr>
            <w:tr w:rsidR="003038B6" w14:paraId="27899863" w14:textId="77777777" w:rsidTr="00B622D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56" w:type="dxa"/>
                </w:tcPr>
                <w:p w14:paraId="476F65B8"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Indian Business Environment</w:t>
                  </w:r>
                </w:p>
              </w:tc>
              <w:tc>
                <w:tcPr>
                  <w:cnfStyle w:val="000001000000" w:firstRow="0" w:lastRow="0" w:firstColumn="0" w:lastColumn="0" w:oddVBand="0" w:evenVBand="1" w:oddHBand="0" w:evenHBand="0" w:firstRowFirstColumn="0" w:firstRowLastColumn="0" w:lastRowFirstColumn="0" w:lastRowLastColumn="0"/>
                  <w:tcW w:w="5432" w:type="dxa"/>
                </w:tcPr>
                <w:p w14:paraId="179E1B4A"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Textile cluster economics; industrial policy (MAHA-TUFS); migrant labor dynamics</w:t>
                  </w:r>
                </w:p>
              </w:tc>
            </w:tr>
            <w:tr w:rsidR="003038B6" w14:paraId="27A107C3" w14:textId="77777777" w:rsidTr="00B622DE">
              <w:trPr>
                <w:jc w:val="center"/>
              </w:trPr>
              <w:tc>
                <w:tcPr>
                  <w:cnfStyle w:val="000010000000" w:firstRow="0" w:lastRow="0" w:firstColumn="0" w:lastColumn="0" w:oddVBand="1" w:evenVBand="0" w:oddHBand="0" w:evenHBand="0" w:firstRowFirstColumn="0" w:firstRowLastColumn="0" w:lastRowFirstColumn="0" w:lastRowLastColumn="0"/>
                  <w:tcW w:w="2356" w:type="dxa"/>
                </w:tcPr>
                <w:p w14:paraId="64A7D1C6"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Managerial Accounting / Finance</w:t>
                  </w:r>
                </w:p>
              </w:tc>
              <w:tc>
                <w:tcPr>
                  <w:cnfStyle w:val="000001000000" w:firstRow="0" w:lastRow="0" w:firstColumn="0" w:lastColumn="0" w:oddVBand="0" w:evenVBand="1" w:oddHBand="0" w:evenHBand="0" w:firstRowFirstColumn="0" w:firstRowLastColumn="0" w:lastRowFirstColumn="0" w:lastRowLastColumn="0"/>
                  <w:tcW w:w="5432" w:type="dxa"/>
                </w:tcPr>
                <w:p w14:paraId="15278188"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Break-even analysis; capital budgeting under uncertainty</w:t>
                  </w:r>
                </w:p>
              </w:tc>
            </w:tr>
          </w:tbl>
          <w:p w14:paraId="67B39702" w14:textId="77777777" w:rsidR="003038B6" w:rsidRDefault="003038B6"/>
        </w:tc>
      </w:tr>
    </w:tbl>
    <w:p w14:paraId="119C003A"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case works best after students have been introduced to basic strategic analysis frameworks (PESTEL, SWOT, Porter's Five Forces) and financial statement analysis. It can serve as an integrative case requiring students to synthesize across operations, finance, strategy, and behavioral dimensions. No prior knowledge of the Indian textile industry is required.</w:t>
      </w:r>
    </w:p>
    <w:p w14:paraId="1D3E2BEA" w14:textId="4E5A565C" w:rsidR="003038B6" w:rsidRDefault="00000000" w:rsidP="00B622DE">
      <w:pPr>
        <w:pStyle w:val="Heading2"/>
      </w:pPr>
      <w:bookmarkStart w:id="5" w:name="relevant-readings"/>
      <w:bookmarkEnd w:id="4"/>
      <w:r>
        <w:t>Relevant Readings</w:t>
      </w:r>
    </w:p>
    <w:p w14:paraId="7527746A" w14:textId="77777777" w:rsidR="003038B6" w:rsidRDefault="00000000">
      <w:pPr>
        <w:pStyle w:val="Heading3"/>
      </w:pPr>
      <w:bookmarkStart w:id="6" w:name="for-instructors"/>
      <w:r>
        <w:t>For Instructors</w:t>
      </w:r>
    </w:p>
    <w:p w14:paraId="05AA007F" w14:textId="77777777" w:rsidR="003038B6" w:rsidRPr="00B622DE" w:rsidRDefault="00000000">
      <w:pPr>
        <w:numPr>
          <w:ilvl w:val="0"/>
          <w:numId w:val="2"/>
        </w:numPr>
        <w:rPr>
          <w:rFonts w:ascii="Times New Roman" w:hAnsi="Times New Roman" w:cs="Times New Roman"/>
          <w:sz w:val="22"/>
          <w:szCs w:val="22"/>
        </w:rPr>
      </w:pPr>
      <w:r w:rsidRPr="00B622DE">
        <w:rPr>
          <w:rFonts w:ascii="Times New Roman" w:hAnsi="Times New Roman" w:cs="Times New Roman"/>
          <w:sz w:val="22"/>
          <w:szCs w:val="22"/>
        </w:rPr>
        <w:t xml:space="preserve">William P. Barnett and Morten T. Hansen, “The Red Queen in Organizational Evolution,” </w:t>
      </w:r>
      <w:r w:rsidRPr="00B622DE">
        <w:rPr>
          <w:rFonts w:ascii="Times New Roman" w:hAnsi="Times New Roman" w:cs="Times New Roman"/>
          <w:i/>
          <w:iCs/>
          <w:sz w:val="22"/>
          <w:szCs w:val="22"/>
        </w:rPr>
        <w:t>Strategic Management Journal</w:t>
      </w:r>
      <w:r w:rsidRPr="00B622DE">
        <w:rPr>
          <w:rFonts w:ascii="Times New Roman" w:hAnsi="Times New Roman" w:cs="Times New Roman"/>
          <w:sz w:val="22"/>
          <w:szCs w:val="22"/>
        </w:rPr>
        <w:t xml:space="preserve"> 17, no. S1 (1996): 139–157.</w:t>
      </w:r>
    </w:p>
    <w:p w14:paraId="65E1B085" w14:textId="77777777" w:rsidR="003038B6" w:rsidRPr="00B622DE" w:rsidRDefault="00000000">
      <w:pPr>
        <w:numPr>
          <w:ilvl w:val="0"/>
          <w:numId w:val="2"/>
        </w:numPr>
        <w:rPr>
          <w:rFonts w:ascii="Times New Roman" w:hAnsi="Times New Roman" w:cs="Times New Roman"/>
          <w:sz w:val="22"/>
          <w:szCs w:val="22"/>
        </w:rPr>
      </w:pPr>
      <w:r w:rsidRPr="00B622DE">
        <w:rPr>
          <w:rFonts w:ascii="Times New Roman" w:hAnsi="Times New Roman" w:cs="Times New Roman"/>
          <w:sz w:val="22"/>
          <w:szCs w:val="22"/>
        </w:rPr>
        <w:t xml:space="preserve">Pascual Berrone, Cristina Cruz, and Luis R. Gómez-Mejía, “Socioemotional Wealth in Family Firms: Theoretical Dimensions, Assessment Approaches, and Agenda for Future Research,” </w:t>
      </w:r>
      <w:r w:rsidRPr="00B622DE">
        <w:rPr>
          <w:rFonts w:ascii="Times New Roman" w:hAnsi="Times New Roman" w:cs="Times New Roman"/>
          <w:i/>
          <w:iCs/>
          <w:sz w:val="22"/>
          <w:szCs w:val="22"/>
        </w:rPr>
        <w:t>Family Business Review</w:t>
      </w:r>
      <w:r w:rsidRPr="00B622DE">
        <w:rPr>
          <w:rFonts w:ascii="Times New Roman" w:hAnsi="Times New Roman" w:cs="Times New Roman"/>
          <w:sz w:val="22"/>
          <w:szCs w:val="22"/>
        </w:rPr>
        <w:t xml:space="preserve"> 25, no. 3 (2012): 258–279.</w:t>
      </w:r>
    </w:p>
    <w:p w14:paraId="1E3DDADA" w14:textId="77777777" w:rsidR="003038B6" w:rsidRPr="00B622DE" w:rsidRDefault="00000000">
      <w:pPr>
        <w:numPr>
          <w:ilvl w:val="0"/>
          <w:numId w:val="2"/>
        </w:numPr>
        <w:rPr>
          <w:rFonts w:ascii="Times New Roman" w:hAnsi="Times New Roman" w:cs="Times New Roman"/>
          <w:sz w:val="22"/>
          <w:szCs w:val="22"/>
        </w:rPr>
      </w:pPr>
      <w:r w:rsidRPr="00B622DE">
        <w:rPr>
          <w:rFonts w:ascii="Times New Roman" w:hAnsi="Times New Roman" w:cs="Times New Roman"/>
          <w:sz w:val="22"/>
          <w:szCs w:val="22"/>
        </w:rPr>
        <w:t xml:space="preserve">Luis R. Gómez-Mejía et al., “Socioemotional Wealth and Business Risks in Family-Controlled Firms: Evidence from Spanish Olive Oil Mills,” </w:t>
      </w:r>
      <w:r w:rsidRPr="00B622DE">
        <w:rPr>
          <w:rFonts w:ascii="Times New Roman" w:hAnsi="Times New Roman" w:cs="Times New Roman"/>
          <w:i/>
          <w:iCs/>
          <w:sz w:val="22"/>
          <w:szCs w:val="22"/>
        </w:rPr>
        <w:t>Administrative Science Quarterly</w:t>
      </w:r>
      <w:r w:rsidRPr="00B622DE">
        <w:rPr>
          <w:rFonts w:ascii="Times New Roman" w:hAnsi="Times New Roman" w:cs="Times New Roman"/>
          <w:sz w:val="22"/>
          <w:szCs w:val="22"/>
        </w:rPr>
        <w:t xml:space="preserve"> 52, no. 1 (2007): 106–137.</w:t>
      </w:r>
    </w:p>
    <w:p w14:paraId="46018C53" w14:textId="77777777" w:rsidR="003038B6" w:rsidRPr="00B622DE" w:rsidRDefault="00000000">
      <w:pPr>
        <w:numPr>
          <w:ilvl w:val="0"/>
          <w:numId w:val="2"/>
        </w:numPr>
        <w:rPr>
          <w:rFonts w:ascii="Times New Roman" w:hAnsi="Times New Roman" w:cs="Times New Roman"/>
          <w:sz w:val="22"/>
          <w:szCs w:val="22"/>
        </w:rPr>
      </w:pPr>
      <w:r w:rsidRPr="00B622DE">
        <w:rPr>
          <w:rFonts w:ascii="Times New Roman" w:hAnsi="Times New Roman" w:cs="Times New Roman"/>
          <w:sz w:val="22"/>
          <w:szCs w:val="22"/>
        </w:rPr>
        <w:t xml:space="preserve">Michael E. Porter, “Clusters and the New Economics of Competition,” </w:t>
      </w:r>
      <w:r w:rsidRPr="00B622DE">
        <w:rPr>
          <w:rFonts w:ascii="Times New Roman" w:hAnsi="Times New Roman" w:cs="Times New Roman"/>
          <w:i/>
          <w:iCs/>
          <w:sz w:val="22"/>
          <w:szCs w:val="22"/>
        </w:rPr>
        <w:t>Harvard Business Review</w:t>
      </w:r>
      <w:r w:rsidRPr="00B622DE">
        <w:rPr>
          <w:rFonts w:ascii="Times New Roman" w:hAnsi="Times New Roman" w:cs="Times New Roman"/>
          <w:sz w:val="22"/>
          <w:szCs w:val="22"/>
        </w:rPr>
        <w:t xml:space="preserve"> 76, no. 6 (1998): 77–90.</w:t>
      </w:r>
    </w:p>
    <w:p w14:paraId="44712FA8" w14:textId="77777777" w:rsidR="003038B6" w:rsidRDefault="00000000">
      <w:pPr>
        <w:pStyle w:val="Heading3"/>
      </w:pPr>
      <w:bookmarkStart w:id="7" w:name="for-students"/>
      <w:bookmarkEnd w:id="6"/>
      <w:r>
        <w:t>For Students</w:t>
      </w:r>
    </w:p>
    <w:p w14:paraId="453E2243" w14:textId="77777777" w:rsidR="003038B6" w:rsidRPr="00B622DE" w:rsidRDefault="00000000">
      <w:pPr>
        <w:numPr>
          <w:ilvl w:val="0"/>
          <w:numId w:val="3"/>
        </w:numPr>
        <w:rPr>
          <w:rFonts w:ascii="Times New Roman" w:hAnsi="Times New Roman" w:cs="Times New Roman"/>
          <w:sz w:val="22"/>
          <w:szCs w:val="22"/>
        </w:rPr>
      </w:pPr>
      <w:r w:rsidRPr="00B622DE">
        <w:rPr>
          <w:rFonts w:ascii="Times New Roman" w:hAnsi="Times New Roman" w:cs="Times New Roman"/>
          <w:sz w:val="22"/>
          <w:szCs w:val="22"/>
        </w:rPr>
        <w:t xml:space="preserve">Eliyahu M. Goldratt and Jeff Cox, </w:t>
      </w:r>
      <w:r w:rsidRPr="00B622DE">
        <w:rPr>
          <w:rFonts w:ascii="Times New Roman" w:hAnsi="Times New Roman" w:cs="Times New Roman"/>
          <w:i/>
          <w:iCs/>
          <w:sz w:val="22"/>
          <w:szCs w:val="22"/>
        </w:rPr>
        <w:t>The Goal: A Process of Ongoing Improvement</w:t>
      </w:r>
      <w:r w:rsidRPr="00B622DE">
        <w:rPr>
          <w:rFonts w:ascii="Times New Roman" w:hAnsi="Times New Roman" w:cs="Times New Roman"/>
          <w:sz w:val="22"/>
          <w:szCs w:val="22"/>
        </w:rPr>
        <w:t>, 3rd rev. ed. (Great Barrington, MA: North River Press, 2004).</w:t>
      </w:r>
    </w:p>
    <w:p w14:paraId="6CCA0BBD" w14:textId="5B630A88" w:rsidR="003038B6" w:rsidRPr="00B622DE" w:rsidRDefault="00000000" w:rsidP="00B622DE">
      <w:pPr>
        <w:numPr>
          <w:ilvl w:val="0"/>
          <w:numId w:val="3"/>
        </w:numPr>
        <w:rPr>
          <w:rFonts w:ascii="Times New Roman" w:hAnsi="Times New Roman" w:cs="Times New Roman"/>
          <w:sz w:val="22"/>
          <w:szCs w:val="22"/>
        </w:rPr>
      </w:pPr>
      <w:r w:rsidRPr="00B622DE">
        <w:rPr>
          <w:rFonts w:ascii="Times New Roman" w:hAnsi="Times New Roman" w:cs="Times New Roman"/>
          <w:sz w:val="22"/>
          <w:szCs w:val="22"/>
        </w:rPr>
        <w:lastRenderedPageBreak/>
        <w:t xml:space="preserve">Tarun Khanna and Krishna G. Palepu, </w:t>
      </w:r>
      <w:r w:rsidRPr="00B622DE">
        <w:rPr>
          <w:rFonts w:ascii="Times New Roman" w:hAnsi="Times New Roman" w:cs="Times New Roman"/>
          <w:i/>
          <w:iCs/>
          <w:sz w:val="22"/>
          <w:szCs w:val="22"/>
        </w:rPr>
        <w:t>Winning in Emerging Markets: A Road Map for Strategy and Execution</w:t>
      </w:r>
      <w:r w:rsidRPr="00B622DE">
        <w:rPr>
          <w:rFonts w:ascii="Times New Roman" w:hAnsi="Times New Roman" w:cs="Times New Roman"/>
          <w:sz w:val="22"/>
          <w:szCs w:val="22"/>
        </w:rPr>
        <w:t xml:space="preserve"> (Boston: Harvard Business Press, 2010), chaps. 2–4.</w:t>
      </w:r>
    </w:p>
    <w:p w14:paraId="1E314008" w14:textId="77777777" w:rsidR="003038B6" w:rsidRDefault="00000000">
      <w:pPr>
        <w:pStyle w:val="Heading2"/>
      </w:pPr>
      <w:bookmarkStart w:id="8" w:name="supplemental-materials"/>
      <w:bookmarkEnd w:id="5"/>
      <w:bookmarkEnd w:id="7"/>
      <w:r>
        <w:t>Supplemental Materials</w:t>
      </w:r>
    </w:p>
    <w:p w14:paraId="62723BCF"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None.</w:t>
      </w:r>
    </w:p>
    <w:p w14:paraId="536D6A49" w14:textId="77777777" w:rsidR="003038B6" w:rsidRDefault="000C0780">
      <w:r>
        <w:rPr>
          <w:noProof/>
        </w:rPr>
      </w:r>
      <w:r>
        <w:pict w14:anchorId="504DC109">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793568D" w14:textId="77777777" w:rsidR="003038B6" w:rsidRDefault="00000000">
      <w:pPr>
        <w:pStyle w:val="Heading2"/>
      </w:pPr>
      <w:bookmarkStart w:id="9" w:name="assignment-questions"/>
      <w:bookmarkEnd w:id="8"/>
      <w:r>
        <w:t>Assignment Questions</w:t>
      </w:r>
    </w:p>
    <w:p w14:paraId="5A6C2581"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1. Using the data in Exhibits 1, 2, and 7, construct a break-even analysis for Sai Tex under the current job-work model. At what monthly production volume (in metres) does Sai Tex break even at the 2025 cost structure? What job-work rate (paisa per pick) would Sai Tex need to break even at its current average production volume?</w:t>
      </w:r>
    </w:p>
    <w:p w14:paraId="01E7AE3E"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2. Evaluate the three strategic options (Exhibit 3) using a decision matrix that weighs financial viability, operational risk, stakeholder impact, and strategic positioning. Which option would you recommend, and under what assumptions does your recommendation hold?</w:t>
      </w:r>
    </w:p>
    <w:p w14:paraId="301434F9"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3. How does the Red Queen Effect explain Sai Tex's competitive decline? Identify the specific mechanisms through which technological stagnation has created a self-reinforcing cycle of decline for the firm.</w:t>
      </w:r>
    </w:p>
    <w:p w14:paraId="124113FF"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4. Apply the Theory of Constraints to Sai Tex's operations. What is the binding constraint: technology, labor, market access, or capital? How does identifying the correct constraint change the recommended course of action?</w:t>
      </w:r>
    </w:p>
    <w:p w14:paraId="65A8D874"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5. Patil's father instilled in him the belief that "if you have the means to give someone a livelihood, you have the duty to do it." How does this socio-emotional wealth orientation affect Patil's strategic calculus? Should non-financial considerations change the recommended option? Why or why not?</w:t>
      </w:r>
    </w:p>
    <w:p w14:paraId="1984CA89" w14:textId="77777777" w:rsidR="003038B6" w:rsidRDefault="00000000">
      <w:pPr>
        <w:pStyle w:val="Heading2"/>
      </w:pPr>
      <w:bookmarkStart w:id="10" w:name="teaching-plan"/>
      <w:bookmarkEnd w:id="9"/>
      <w:r>
        <w:t>Teaching Plan</w:t>
      </w:r>
    </w:p>
    <w:p w14:paraId="165AAEEE"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The plan below is designed for a 90-minute class session.</w:t>
      </w:r>
    </w:p>
    <w:p w14:paraId="2FF5AD0A"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b/>
          <w:bCs/>
          <w:sz w:val="22"/>
          <w:szCs w:val="22"/>
        </w:rPr>
        <w:t>90-Minute Session</w:t>
      </w:r>
    </w:p>
    <w:tbl>
      <w:tblPr>
        <w:tblStyle w:val="PlainTable2"/>
        <w:tblW w:w="4965" w:type="pct"/>
        <w:tblLayout w:type="fixed"/>
        <w:tblLook w:val="0020" w:firstRow="1" w:lastRow="0" w:firstColumn="0" w:lastColumn="0" w:noHBand="0" w:noVBand="0"/>
      </w:tblPr>
      <w:tblGrid>
        <w:gridCol w:w="1285"/>
        <w:gridCol w:w="893"/>
        <w:gridCol w:w="1080"/>
        <w:gridCol w:w="6251"/>
      </w:tblGrid>
      <w:tr w:rsidR="003038B6" w14:paraId="574BB7D9" w14:textId="77777777" w:rsidTr="00B622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5" w:type="dxa"/>
            <w:shd w:val="clear" w:color="auto" w:fill="D9F2D0" w:themeFill="accent6" w:themeFillTint="33"/>
          </w:tcPr>
          <w:p w14:paraId="7EFC2488"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Segment</w:t>
            </w:r>
          </w:p>
        </w:tc>
        <w:tc>
          <w:tcPr>
            <w:cnfStyle w:val="000001000000" w:firstRow="0" w:lastRow="0" w:firstColumn="0" w:lastColumn="0" w:oddVBand="0" w:evenVBand="1" w:oddHBand="0" w:evenHBand="0" w:firstRowFirstColumn="0" w:firstRowLastColumn="0" w:lastRowFirstColumn="0" w:lastRowLastColumn="0"/>
            <w:tcW w:w="893" w:type="dxa"/>
            <w:shd w:val="clear" w:color="auto" w:fill="D9F2D0" w:themeFill="accent6" w:themeFillTint="33"/>
          </w:tcPr>
          <w:p w14:paraId="2A1275AF"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Time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F2D0" w:themeFill="accent6" w:themeFillTint="33"/>
          </w:tcPr>
          <w:p w14:paraId="21399337"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Activity</w:t>
            </w:r>
          </w:p>
        </w:tc>
        <w:tc>
          <w:tcPr>
            <w:cnfStyle w:val="000001000000" w:firstRow="0" w:lastRow="0" w:firstColumn="0" w:lastColumn="0" w:oddVBand="0" w:evenVBand="1" w:oddHBand="0" w:evenHBand="0" w:firstRowFirstColumn="0" w:firstRowLastColumn="0" w:lastRowFirstColumn="0" w:lastRowLastColumn="0"/>
            <w:tcW w:w="6251" w:type="dxa"/>
            <w:shd w:val="clear" w:color="auto" w:fill="D9F2D0" w:themeFill="accent6" w:themeFillTint="33"/>
          </w:tcPr>
          <w:p w14:paraId="38D17A40"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Key Discussion Points</w:t>
            </w:r>
          </w:p>
        </w:tc>
      </w:tr>
      <w:tr w:rsidR="003038B6" w14:paraId="567B4155" w14:textId="77777777" w:rsidTr="00B622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5" w:type="dxa"/>
          </w:tcPr>
          <w:p w14:paraId="0ED8EE6E"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Opening</w:t>
            </w:r>
          </w:p>
        </w:tc>
        <w:tc>
          <w:tcPr>
            <w:cnfStyle w:val="000001000000" w:firstRow="0" w:lastRow="0" w:firstColumn="0" w:lastColumn="0" w:oddVBand="0" w:evenVBand="1" w:oddHBand="0" w:evenHBand="0" w:firstRowFirstColumn="0" w:firstRowLastColumn="0" w:lastRowFirstColumn="0" w:lastRowLastColumn="0"/>
            <w:tcW w:w="893" w:type="dxa"/>
          </w:tcPr>
          <w:p w14:paraId="333FA956"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5 min</w:t>
            </w:r>
          </w:p>
        </w:tc>
        <w:tc>
          <w:tcPr>
            <w:cnfStyle w:val="000010000000" w:firstRow="0" w:lastRow="0" w:firstColumn="0" w:lastColumn="0" w:oddVBand="1" w:evenVBand="0" w:oddHBand="0" w:evenHBand="0" w:firstRowFirstColumn="0" w:firstRowLastColumn="0" w:lastRowFirstColumn="0" w:lastRowLastColumn="0"/>
            <w:tcW w:w="1080" w:type="dxa"/>
          </w:tcPr>
          <w:p w14:paraId="2C5004A3"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Cold call / poll</w:t>
            </w:r>
          </w:p>
        </w:tc>
        <w:tc>
          <w:tcPr>
            <w:cnfStyle w:val="000001000000" w:firstRow="0" w:lastRow="0" w:firstColumn="0" w:lastColumn="0" w:oddVBand="0" w:evenVBand="1" w:oddHBand="0" w:evenHBand="0" w:firstRowFirstColumn="0" w:firstRowLastColumn="0" w:lastRowFirstColumn="0" w:lastRowLastColumn="0"/>
            <w:tcW w:w="6251" w:type="dxa"/>
          </w:tcPr>
          <w:p w14:paraId="14CEA421"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"By show of hands: Option A, B, or C? Why?" Record the split on the board.</w:t>
            </w:r>
          </w:p>
        </w:tc>
      </w:tr>
      <w:tr w:rsidR="003038B6" w14:paraId="6376FD59" w14:textId="77777777" w:rsidTr="00B622DE">
        <w:tc>
          <w:tcPr>
            <w:cnfStyle w:val="000010000000" w:firstRow="0" w:lastRow="0" w:firstColumn="0" w:lastColumn="0" w:oddVBand="1" w:evenVBand="0" w:oddHBand="0" w:evenHBand="0" w:firstRowFirstColumn="0" w:firstRowLastColumn="0" w:lastRowFirstColumn="0" w:lastRowLastColumn="0"/>
            <w:tcW w:w="1285" w:type="dxa"/>
          </w:tcPr>
          <w:p w14:paraId="51862E53"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Industry Context</w:t>
            </w:r>
          </w:p>
        </w:tc>
        <w:tc>
          <w:tcPr>
            <w:cnfStyle w:val="000001000000" w:firstRow="0" w:lastRow="0" w:firstColumn="0" w:lastColumn="0" w:oddVBand="0" w:evenVBand="1" w:oddHBand="0" w:evenHBand="0" w:firstRowFirstColumn="0" w:firstRowLastColumn="0" w:lastRowFirstColumn="0" w:lastRowLastColumn="0"/>
            <w:tcW w:w="893" w:type="dxa"/>
          </w:tcPr>
          <w:p w14:paraId="23ABF4D4"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10 min</w:t>
            </w:r>
          </w:p>
        </w:tc>
        <w:tc>
          <w:tcPr>
            <w:cnfStyle w:val="000010000000" w:firstRow="0" w:lastRow="0" w:firstColumn="0" w:lastColumn="0" w:oddVBand="1" w:evenVBand="0" w:oddHBand="0" w:evenHBand="0" w:firstRowFirstColumn="0" w:firstRowLastColumn="0" w:lastRowFirstColumn="0" w:lastRowLastColumn="0"/>
            <w:tcW w:w="1080" w:type="dxa"/>
          </w:tcPr>
          <w:p w14:paraId="16DC3838"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Instructor-led</w:t>
            </w:r>
          </w:p>
        </w:tc>
        <w:tc>
          <w:tcPr>
            <w:cnfStyle w:val="000001000000" w:firstRow="0" w:lastRow="0" w:firstColumn="0" w:lastColumn="0" w:oddVBand="0" w:evenVBand="1" w:oddHBand="0" w:evenHBand="0" w:firstRowFirstColumn="0" w:firstRowLastColumn="0" w:lastRowFirstColumn="0" w:lastRowLastColumn="0"/>
            <w:tcW w:w="6251" w:type="dxa"/>
          </w:tcPr>
          <w:p w14:paraId="19656F99"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Ichhalkaranji cluster economics; job-work model mechanics; why the "Manchester of Maharashtra" is in decline. Use Exhibit 4 to anchor the technology gap.</w:t>
            </w:r>
          </w:p>
        </w:tc>
      </w:tr>
      <w:tr w:rsidR="003038B6" w14:paraId="1071534B" w14:textId="77777777" w:rsidTr="00B622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5" w:type="dxa"/>
          </w:tcPr>
          <w:p w14:paraId="66E22515"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Financial Diagnosis</w:t>
            </w:r>
          </w:p>
        </w:tc>
        <w:tc>
          <w:tcPr>
            <w:cnfStyle w:val="000001000000" w:firstRow="0" w:lastRow="0" w:firstColumn="0" w:lastColumn="0" w:oddVBand="0" w:evenVBand="1" w:oddHBand="0" w:evenHBand="0" w:firstRowFirstColumn="0" w:firstRowLastColumn="0" w:lastRowFirstColumn="0" w:lastRowLastColumn="0"/>
            <w:tcW w:w="893" w:type="dxa"/>
          </w:tcPr>
          <w:p w14:paraId="0CB58A19"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20 min</w:t>
            </w:r>
          </w:p>
        </w:tc>
        <w:tc>
          <w:tcPr>
            <w:cnfStyle w:val="000010000000" w:firstRow="0" w:lastRow="0" w:firstColumn="0" w:lastColumn="0" w:oddVBand="1" w:evenVBand="0" w:oddHBand="0" w:evenHBand="0" w:firstRowFirstColumn="0" w:firstRowLastColumn="0" w:lastRowFirstColumn="0" w:lastRowLastColumn="0"/>
            <w:tcW w:w="1080" w:type="dxa"/>
          </w:tcPr>
          <w:p w14:paraId="2B7F910A"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Student-led analysis (Q1)</w:t>
            </w:r>
          </w:p>
        </w:tc>
        <w:tc>
          <w:tcPr>
            <w:cnfStyle w:val="000001000000" w:firstRow="0" w:lastRow="0" w:firstColumn="0" w:lastColumn="0" w:oddVBand="0" w:evenVBand="1" w:oddHBand="0" w:evenHBand="0" w:firstRowFirstColumn="0" w:firstRowLastColumn="0" w:lastRowFirstColumn="0" w:lastRowLastColumn="0"/>
            <w:tcW w:w="6251" w:type="dxa"/>
          </w:tcPr>
          <w:p w14:paraId="57EBE9B3"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Walk through Exhibits 1, 2, and 7. Students calculate break-even volume and rate. Highlight the US$5,348/month deterioration and the tenfold rise in interest costs (US$130 to US$1,304/month).</w:t>
            </w:r>
          </w:p>
        </w:tc>
      </w:tr>
      <w:tr w:rsidR="003038B6" w14:paraId="30DED5C1" w14:textId="77777777" w:rsidTr="00B622DE">
        <w:tc>
          <w:tcPr>
            <w:cnfStyle w:val="000010000000" w:firstRow="0" w:lastRow="0" w:firstColumn="0" w:lastColumn="0" w:oddVBand="1" w:evenVBand="0" w:oddHBand="0" w:evenHBand="0" w:firstRowFirstColumn="0" w:firstRowLastColumn="0" w:lastRowFirstColumn="0" w:lastRowLastColumn="0"/>
            <w:tcW w:w="1285" w:type="dxa"/>
          </w:tcPr>
          <w:p w14:paraId="669520DC"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 xml:space="preserve">Red Queen and Theory of </w:t>
            </w:r>
            <w:r w:rsidRPr="00B622DE">
              <w:rPr>
                <w:rFonts w:ascii="Times New Roman" w:hAnsi="Times New Roman" w:cs="Times New Roman"/>
                <w:sz w:val="22"/>
                <w:szCs w:val="22"/>
              </w:rPr>
              <w:lastRenderedPageBreak/>
              <w:t>Constraints</w:t>
            </w:r>
          </w:p>
        </w:tc>
        <w:tc>
          <w:tcPr>
            <w:cnfStyle w:val="000001000000" w:firstRow="0" w:lastRow="0" w:firstColumn="0" w:lastColumn="0" w:oddVBand="0" w:evenVBand="1" w:oddHBand="0" w:evenHBand="0" w:firstRowFirstColumn="0" w:firstRowLastColumn="0" w:lastRowFirstColumn="0" w:lastRowLastColumn="0"/>
            <w:tcW w:w="893" w:type="dxa"/>
          </w:tcPr>
          <w:p w14:paraId="021A961B"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lastRenderedPageBreak/>
              <w:t>15 min</w:t>
            </w:r>
          </w:p>
        </w:tc>
        <w:tc>
          <w:tcPr>
            <w:cnfStyle w:val="000010000000" w:firstRow="0" w:lastRow="0" w:firstColumn="0" w:lastColumn="0" w:oddVBand="1" w:evenVBand="0" w:oddHBand="0" w:evenHBand="0" w:firstRowFirstColumn="0" w:firstRowLastColumn="0" w:lastRowFirstColumn="0" w:lastRowLastColumn="0"/>
            <w:tcW w:w="1080" w:type="dxa"/>
          </w:tcPr>
          <w:p w14:paraId="50FD38CA"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 xml:space="preserve">Guided discussion (Q3, </w:t>
            </w:r>
            <w:r w:rsidRPr="00B622DE">
              <w:rPr>
                <w:rFonts w:ascii="Times New Roman" w:hAnsi="Times New Roman" w:cs="Times New Roman"/>
                <w:sz w:val="22"/>
                <w:szCs w:val="22"/>
              </w:rPr>
              <w:lastRenderedPageBreak/>
              <w:t>Q4)</w:t>
            </w:r>
          </w:p>
        </w:tc>
        <w:tc>
          <w:tcPr>
            <w:cnfStyle w:val="000001000000" w:firstRow="0" w:lastRow="0" w:firstColumn="0" w:lastColumn="0" w:oddVBand="0" w:evenVBand="1" w:oddHBand="0" w:evenHBand="0" w:firstRowFirstColumn="0" w:firstRowLastColumn="0" w:lastRowFirstColumn="0" w:lastRowLastColumn="0"/>
            <w:tcW w:w="6251" w:type="dxa"/>
          </w:tcPr>
          <w:p w14:paraId="1D7872F5"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lastRenderedPageBreak/>
              <w:t>Map the vicious cycle: old machines, low throughput, high per-unit cost, low wages, labor drain, lower capacity. Identify the binding constraint. Debate: is it technology or capital?</w:t>
            </w:r>
          </w:p>
        </w:tc>
      </w:tr>
      <w:tr w:rsidR="003038B6" w14:paraId="3518503B" w14:textId="77777777" w:rsidTr="00B622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5" w:type="dxa"/>
          </w:tcPr>
          <w:p w14:paraId="6FBB2228"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Option Evaluation</w:t>
            </w:r>
          </w:p>
        </w:tc>
        <w:tc>
          <w:tcPr>
            <w:cnfStyle w:val="000001000000" w:firstRow="0" w:lastRow="0" w:firstColumn="0" w:lastColumn="0" w:oddVBand="0" w:evenVBand="1" w:oddHBand="0" w:evenHBand="0" w:firstRowFirstColumn="0" w:firstRowLastColumn="0" w:lastRowFirstColumn="0" w:lastRowLastColumn="0"/>
            <w:tcW w:w="893" w:type="dxa"/>
          </w:tcPr>
          <w:p w14:paraId="791A3896"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20 min</w:t>
            </w:r>
          </w:p>
        </w:tc>
        <w:tc>
          <w:tcPr>
            <w:cnfStyle w:val="000010000000" w:firstRow="0" w:lastRow="0" w:firstColumn="0" w:lastColumn="0" w:oddVBand="1" w:evenVBand="0" w:oddHBand="0" w:evenHBand="0" w:firstRowFirstColumn="0" w:firstRowLastColumn="0" w:lastRowFirstColumn="0" w:lastRowLastColumn="0"/>
            <w:tcW w:w="1080" w:type="dxa"/>
          </w:tcPr>
          <w:p w14:paraId="7DF9CD72"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Small-group exercise (Q2)</w:t>
            </w:r>
          </w:p>
        </w:tc>
        <w:tc>
          <w:tcPr>
            <w:cnfStyle w:val="000001000000" w:firstRow="0" w:lastRow="0" w:firstColumn="0" w:lastColumn="0" w:oddVBand="0" w:evenVBand="1" w:oddHBand="0" w:evenHBand="0" w:firstRowFirstColumn="0" w:firstRowLastColumn="0" w:lastRowFirstColumn="0" w:lastRowLastColumn="0"/>
            <w:tcW w:w="6251" w:type="dxa"/>
          </w:tcPr>
          <w:p w14:paraId="734B9176"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Groups of 4–5 build a decision matrix using Exhibit 3. Each group presents its top-ranked option with supporting assumptions.</w:t>
            </w:r>
          </w:p>
        </w:tc>
      </w:tr>
      <w:tr w:rsidR="003038B6" w14:paraId="67FDC208" w14:textId="77777777" w:rsidTr="00B622DE">
        <w:tc>
          <w:tcPr>
            <w:cnfStyle w:val="000010000000" w:firstRow="0" w:lastRow="0" w:firstColumn="0" w:lastColumn="0" w:oddVBand="1" w:evenVBand="0" w:oddHBand="0" w:evenHBand="0" w:firstRowFirstColumn="0" w:firstRowLastColumn="0" w:lastRowFirstColumn="0" w:lastRowLastColumn="0"/>
            <w:tcW w:w="1285" w:type="dxa"/>
          </w:tcPr>
          <w:p w14:paraId="00CAC4B9"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SEW and Stakeholder Analysis</w:t>
            </w:r>
          </w:p>
        </w:tc>
        <w:tc>
          <w:tcPr>
            <w:cnfStyle w:val="000001000000" w:firstRow="0" w:lastRow="0" w:firstColumn="0" w:lastColumn="0" w:oddVBand="0" w:evenVBand="1" w:oddHBand="0" w:evenHBand="0" w:firstRowFirstColumn="0" w:firstRowLastColumn="0" w:lastRowFirstColumn="0" w:lastRowLastColumn="0"/>
            <w:tcW w:w="893" w:type="dxa"/>
          </w:tcPr>
          <w:p w14:paraId="7DE9A626"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10 min</w:t>
            </w:r>
          </w:p>
        </w:tc>
        <w:tc>
          <w:tcPr>
            <w:cnfStyle w:val="000010000000" w:firstRow="0" w:lastRow="0" w:firstColumn="0" w:lastColumn="0" w:oddVBand="1" w:evenVBand="0" w:oddHBand="0" w:evenHBand="0" w:firstRowFirstColumn="0" w:firstRowLastColumn="0" w:lastRowFirstColumn="0" w:lastRowLastColumn="0"/>
            <w:tcW w:w="1080" w:type="dxa"/>
          </w:tcPr>
          <w:p w14:paraId="079801CF"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Plenary discussion (Q5)</w:t>
            </w:r>
          </w:p>
        </w:tc>
        <w:tc>
          <w:tcPr>
            <w:cnfStyle w:val="000001000000" w:firstRow="0" w:lastRow="0" w:firstColumn="0" w:lastColumn="0" w:oddVBand="0" w:evenVBand="1" w:oddHBand="0" w:evenHBand="0" w:firstRowFirstColumn="0" w:firstRowLastColumn="0" w:lastRowFirstColumn="0" w:lastRowLastColumn="0"/>
            <w:tcW w:w="6251" w:type="dxa"/>
          </w:tcPr>
          <w:p w14:paraId="6D8A26C2"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How does Patil's identity as a social actor change the weight assigned to Option C? Is Option B a "responsible" choice or a slow death?</w:t>
            </w:r>
          </w:p>
        </w:tc>
      </w:tr>
      <w:tr w:rsidR="003038B6" w14:paraId="4D47D95B" w14:textId="77777777" w:rsidTr="00B622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5" w:type="dxa"/>
          </w:tcPr>
          <w:p w14:paraId="0D0999C8"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Synthesis and Debrief</w:t>
            </w:r>
          </w:p>
        </w:tc>
        <w:tc>
          <w:tcPr>
            <w:cnfStyle w:val="000001000000" w:firstRow="0" w:lastRow="0" w:firstColumn="0" w:lastColumn="0" w:oddVBand="0" w:evenVBand="1" w:oddHBand="0" w:evenHBand="0" w:firstRowFirstColumn="0" w:firstRowLastColumn="0" w:lastRowFirstColumn="0" w:lastRowLastColumn="0"/>
            <w:tcW w:w="893" w:type="dxa"/>
          </w:tcPr>
          <w:p w14:paraId="445D3E36"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10 min</w:t>
            </w:r>
          </w:p>
        </w:tc>
        <w:tc>
          <w:tcPr>
            <w:cnfStyle w:val="000010000000" w:firstRow="0" w:lastRow="0" w:firstColumn="0" w:lastColumn="0" w:oddVBand="1" w:evenVBand="0" w:oddHBand="0" w:evenHBand="0" w:firstRowFirstColumn="0" w:firstRowLastColumn="0" w:lastRowFirstColumn="0" w:lastRowLastColumn="0"/>
            <w:tcW w:w="1080" w:type="dxa"/>
          </w:tcPr>
          <w:p w14:paraId="48286C11"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Wrap-up</w:t>
            </w:r>
          </w:p>
        </w:tc>
        <w:tc>
          <w:tcPr>
            <w:cnfStyle w:val="000001000000" w:firstRow="0" w:lastRow="0" w:firstColumn="0" w:lastColumn="0" w:oddVBand="0" w:evenVBand="1" w:oddHBand="0" w:evenHBand="0" w:firstRowFirstColumn="0" w:firstRowLastColumn="0" w:lastRowFirstColumn="0" w:lastRowLastColumn="0"/>
            <w:tcW w:w="6251" w:type="dxa"/>
          </w:tcPr>
          <w:p w14:paraId="51C6A8D5"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Revisit the opening poll. Has anyone changed their vote? Reveal "What Happened" if desired. Bridge to next class topic.</w:t>
            </w:r>
          </w:p>
        </w:tc>
      </w:tr>
    </w:tbl>
    <w:p w14:paraId="586A5A10" w14:textId="77777777" w:rsidR="003038B6" w:rsidRDefault="00000000">
      <w:pPr>
        <w:pStyle w:val="Heading3"/>
      </w:pPr>
      <w:bookmarkStart w:id="11" w:name="online-hybrid-adaptation"/>
      <w:r>
        <w:rPr>
          <w:b/>
          <w:bCs/>
          <w:u w:val="single"/>
        </w:rPr>
        <w:t>Online / Hybrid Adaptation</w:t>
      </w:r>
    </w:p>
    <w:p w14:paraId="030E0822"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For online delivery, the following modifications are recommended:</w:t>
      </w:r>
    </w:p>
    <w:p w14:paraId="4C5ABE8B" w14:textId="77777777" w:rsidR="003038B6" w:rsidRPr="00B622DE" w:rsidRDefault="00000000">
      <w:pPr>
        <w:numPr>
          <w:ilvl w:val="0"/>
          <w:numId w:val="4"/>
        </w:numPr>
        <w:rPr>
          <w:rFonts w:ascii="Times New Roman" w:hAnsi="Times New Roman" w:cs="Times New Roman"/>
          <w:sz w:val="22"/>
          <w:szCs w:val="22"/>
        </w:rPr>
      </w:pPr>
      <w:r w:rsidRPr="00B622DE">
        <w:rPr>
          <w:rFonts w:ascii="Times New Roman" w:hAnsi="Times New Roman" w:cs="Times New Roman"/>
          <w:b/>
          <w:bCs/>
          <w:sz w:val="22"/>
          <w:szCs w:val="22"/>
        </w:rPr>
        <w:t>Opening poll</w:t>
      </w:r>
      <w:r w:rsidRPr="00B622DE">
        <w:rPr>
          <w:rFonts w:ascii="Times New Roman" w:hAnsi="Times New Roman" w:cs="Times New Roman"/>
          <w:sz w:val="22"/>
          <w:szCs w:val="22"/>
        </w:rPr>
        <w:t>: Use a live polling tool (Mentimeter, Slido, or Zoom poll) to capture the initial Option A/B/C split. Display results in real time.</w:t>
      </w:r>
    </w:p>
    <w:p w14:paraId="504CAB32" w14:textId="77777777" w:rsidR="003038B6" w:rsidRPr="00B622DE" w:rsidRDefault="00000000">
      <w:pPr>
        <w:numPr>
          <w:ilvl w:val="0"/>
          <w:numId w:val="4"/>
        </w:numPr>
        <w:rPr>
          <w:rFonts w:ascii="Times New Roman" w:hAnsi="Times New Roman" w:cs="Times New Roman"/>
          <w:sz w:val="22"/>
          <w:szCs w:val="22"/>
        </w:rPr>
      </w:pPr>
      <w:r w:rsidRPr="00B622DE">
        <w:rPr>
          <w:rFonts w:ascii="Times New Roman" w:hAnsi="Times New Roman" w:cs="Times New Roman"/>
          <w:b/>
          <w:bCs/>
          <w:sz w:val="22"/>
          <w:szCs w:val="22"/>
        </w:rPr>
        <w:t>Small-group exercise</w:t>
      </w:r>
      <w:r w:rsidRPr="00B622DE">
        <w:rPr>
          <w:rFonts w:ascii="Times New Roman" w:hAnsi="Times New Roman" w:cs="Times New Roman"/>
          <w:sz w:val="22"/>
          <w:szCs w:val="22"/>
        </w:rPr>
        <w:t>: Use breakout rooms (4–5 students each) for the 20-minute option evaluation. Each group submits its decision matrix via a shared Google Sheet or Jamboard.</w:t>
      </w:r>
    </w:p>
    <w:p w14:paraId="28507FB2" w14:textId="77777777" w:rsidR="003038B6" w:rsidRPr="00B622DE" w:rsidRDefault="00000000">
      <w:pPr>
        <w:numPr>
          <w:ilvl w:val="0"/>
          <w:numId w:val="4"/>
        </w:numPr>
        <w:rPr>
          <w:rFonts w:ascii="Times New Roman" w:hAnsi="Times New Roman" w:cs="Times New Roman"/>
          <w:sz w:val="22"/>
          <w:szCs w:val="22"/>
        </w:rPr>
      </w:pPr>
      <w:r w:rsidRPr="00B622DE">
        <w:rPr>
          <w:rFonts w:ascii="Times New Roman" w:hAnsi="Times New Roman" w:cs="Times New Roman"/>
          <w:b/>
          <w:bCs/>
          <w:sz w:val="22"/>
          <w:szCs w:val="22"/>
        </w:rPr>
        <w:t>Board plan</w:t>
      </w:r>
      <w:r w:rsidRPr="00B622DE">
        <w:rPr>
          <w:rFonts w:ascii="Times New Roman" w:hAnsi="Times New Roman" w:cs="Times New Roman"/>
          <w:sz w:val="22"/>
          <w:szCs w:val="22"/>
        </w:rPr>
        <w:t>: Replace the physical board with a shared Miro or Google Slides template pre-formatted with the three-panel structure. Students populate it collaboratively.</w:t>
      </w:r>
    </w:p>
    <w:p w14:paraId="333FA409" w14:textId="77777777" w:rsidR="003038B6" w:rsidRPr="00B622DE" w:rsidRDefault="00000000">
      <w:pPr>
        <w:numPr>
          <w:ilvl w:val="0"/>
          <w:numId w:val="4"/>
        </w:numPr>
        <w:rPr>
          <w:rFonts w:ascii="Times New Roman" w:hAnsi="Times New Roman" w:cs="Times New Roman"/>
          <w:sz w:val="22"/>
          <w:szCs w:val="22"/>
        </w:rPr>
      </w:pPr>
      <w:r w:rsidRPr="00B622DE">
        <w:rPr>
          <w:rFonts w:ascii="Times New Roman" w:hAnsi="Times New Roman" w:cs="Times New Roman"/>
          <w:b/>
          <w:bCs/>
          <w:sz w:val="22"/>
          <w:szCs w:val="22"/>
        </w:rPr>
        <w:t>Debrief poll</w:t>
      </w:r>
      <w:r w:rsidRPr="00B622DE">
        <w:rPr>
          <w:rFonts w:ascii="Times New Roman" w:hAnsi="Times New Roman" w:cs="Times New Roman"/>
          <w:sz w:val="22"/>
          <w:szCs w:val="22"/>
        </w:rPr>
        <w:t>: Re-run the A/B/C poll at the end to visualize opinion shifts.</w:t>
      </w:r>
    </w:p>
    <w:p w14:paraId="2B84B4FA" w14:textId="77777777" w:rsidR="003038B6" w:rsidRDefault="00000000">
      <w:pPr>
        <w:pStyle w:val="Heading2"/>
      </w:pPr>
      <w:bookmarkStart w:id="12" w:name="board-plan"/>
      <w:bookmarkEnd w:id="10"/>
      <w:bookmarkEnd w:id="11"/>
      <w:r>
        <w:t>Board Plan</w:t>
      </w:r>
    </w:p>
    <w:p w14:paraId="1D1FAE25"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sz w:val="22"/>
          <w:szCs w:val="22"/>
        </w:rPr>
        <w:t>The board should be divided into three panels:</w:t>
      </w:r>
    </w:p>
    <w:p w14:paraId="63687451" w14:textId="77777777" w:rsidR="003038B6"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decision flow arrows would be:</w:t>
      </w:r>
    </w:p>
    <w:p w14:paraId="23FA586B" w14:textId="2A49F959" w:rsidR="00B622DE" w:rsidRPr="00B622DE" w:rsidRDefault="00B622DE">
      <w:pPr>
        <w:pStyle w:val="BodyText"/>
        <w:rPr>
          <w:rFonts w:ascii="Times New Roman" w:hAnsi="Times New Roman" w:cs="Times New Roman"/>
          <w:sz w:val="22"/>
          <w:szCs w:val="22"/>
        </w:rPr>
      </w:pPr>
      <w:r w:rsidRPr="00B622DE">
        <w:rPr>
          <w:rFonts w:ascii="Times New Roman" w:hAnsi="Times New Roman" w:cs="Times New Roman"/>
          <w:sz w:val="22"/>
          <w:szCs w:val="22"/>
        </w:rPr>
        <w:drawing>
          <wp:inline distT="0" distB="0" distL="0" distR="0" wp14:anchorId="72EF9715" wp14:editId="6C83F2F8">
            <wp:extent cx="5562600" cy="2120900"/>
            <wp:effectExtent l="0" t="0" r="0" b="0"/>
            <wp:docPr id="11128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7051" name=""/>
                    <pic:cNvPicPr/>
                  </pic:nvPicPr>
                  <pic:blipFill>
                    <a:blip r:embed="rId8"/>
                    <a:stretch>
                      <a:fillRect/>
                    </a:stretch>
                  </pic:blipFill>
                  <pic:spPr>
                    <a:xfrm>
                      <a:off x="0" y="0"/>
                      <a:ext cx="5562600" cy="2120900"/>
                    </a:xfrm>
                    <a:prstGeom prst="rect">
                      <a:avLst/>
                    </a:prstGeom>
                  </pic:spPr>
                </pic:pic>
              </a:graphicData>
            </a:graphic>
          </wp:inline>
        </w:drawing>
      </w:r>
    </w:p>
    <w:p w14:paraId="39432E14" w14:textId="77777777" w:rsidR="003038B6" w:rsidRDefault="003038B6">
      <w:pPr>
        <w:pStyle w:val="BodyText"/>
      </w:pPr>
    </w:p>
    <w:p w14:paraId="614B8942" w14:textId="77777777" w:rsidR="003038B6" w:rsidRDefault="00000000">
      <w:pPr>
        <w:pStyle w:val="Heading2"/>
      </w:pPr>
      <w:bookmarkStart w:id="13" w:name="analysis"/>
      <w:bookmarkEnd w:id="12"/>
      <w:r>
        <w:t>Analysis</w:t>
      </w:r>
    </w:p>
    <w:p w14:paraId="29DD9A92" w14:textId="77777777" w:rsidR="003038B6" w:rsidRPr="00B622DE" w:rsidRDefault="00000000">
      <w:pPr>
        <w:pStyle w:val="FirstParagraph"/>
        <w:rPr>
          <w:rFonts w:ascii="Times New Roman" w:hAnsi="Times New Roman" w:cs="Times New Roman"/>
          <w:sz w:val="22"/>
          <w:szCs w:val="22"/>
        </w:rPr>
      </w:pPr>
      <w:r w:rsidRPr="00B622DE">
        <w:rPr>
          <w:rFonts w:ascii="Times New Roman" w:hAnsi="Times New Roman" w:cs="Times New Roman"/>
          <w:b/>
          <w:bCs/>
          <w:sz w:val="22"/>
          <w:szCs w:val="22"/>
        </w:rPr>
        <w:t>Question 1:</w:t>
      </w:r>
    </w:p>
    <w:p w14:paraId="357F949A"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b/>
          <w:bCs/>
          <w:i/>
          <w:iCs/>
          <w:sz w:val="22"/>
          <w:szCs w:val="22"/>
        </w:rPr>
        <w:lastRenderedPageBreak/>
        <w:t>Using the data in Exhibits 1, 2, and 7, construct a break-even analysis for Sai Tex under the current job-work model. At what monthly production volume (in metres) does Sai Tex break even at the 2025 cost structure? What job-work rate (paisa per pick) would Sai Tex need to break even at its current average production volume?</w:t>
      </w:r>
    </w:p>
    <w:p w14:paraId="7A74AF4F"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first step is to separate Sai Tex's fixed and variable costs using Exhibit 7 data.</w:t>
      </w:r>
    </w:p>
    <w:p w14:paraId="697661F5"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Fixed costs per month add up as follows: bank interest at US$1,304, base labor payroll at US$2,184, spare parts and mill store at US$130, and other expenses at US$54. That gives a total of roughly US$3,673 per month (INR 337,900). These costs do not change with production volume in the short run. Patil pays them whether the looms run or not.</w:t>
      </w:r>
    </w:p>
    <w:p w14:paraId="7D98E25F"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Variable costs are primarily power and transport. Scaled to per-metre terms, these come to about US$0.017 per metre (INR 1.56).</w:t>
      </w:r>
    </w:p>
    <w:p w14:paraId="6D3145B4"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At the 2025 average realized rate of US$0.088 per metre, or INR 8.07 (from Exhibit 2, full-year average), the contribution margin per metre is US$0.088 minus US$0.017, which gives US$0.071 (INR 6.51).</w:t>
      </w:r>
    </w:p>
    <w:p w14:paraId="164BF983"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break-even volume is then US$3,673 divided by US$0.071, which works out to approximately 51,900 metres per month.</w:t>
      </w:r>
    </w:p>
    <w:p w14:paraId="7BAFD873"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This figure exceeds Sai Tex's peak single-shift production in 2025, which reached only 45,000 metres (January and August, per Exhibit 2). The break-even volume surpasses the unit's maximum observed output by nearly 7,000 metres. At the current cost structure and rate, Sai Tex cannot break even under any achievable production scenario. The gap is structural, not marginal.</w:t>
      </w:r>
    </w:p>
    <w:p w14:paraId="240FA705"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break-even rate calculation confirms this from the other direction. At the 2025 average production of about 37,800 metres per month (454,000 total divided by 12), total cost works out to US$3,673 plus (US$0.017 × 37,800) = US$4,316 (INR 396,868). Dividing by 37,800 metres gives a required rate of US$0.114 per metre (INR 10.50), or roughly 22 paisa per pick at the average 47 picks/cm density.</w:t>
      </w:r>
    </w:p>
    <w:p w14:paraId="07872C3C"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2023 rate was 25 paisa per pick. By 2025, it averaged 17.5 paisa. Sai Tex would need a 26 per cent rate recovery from 2025 levels to break even, and the case offers no evidence that such a recovery is forthcoming. The domestic market remains flooded with surplus fabric from export-oriented units that lost their US market.</w:t>
      </w:r>
    </w:p>
    <w:p w14:paraId="67B89CDC"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preceding analysis establishes that Sai Tex's problem is not cyclical. It is not a temporary rate dip that will correct itself. The cost base has permanently outgrown the revenue capacity of the current technology. This is the quantitative foundation for the Red Queen argument in Question 3.</w:t>
      </w:r>
    </w:p>
    <w:p w14:paraId="3066A46D" w14:textId="5C129413"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i/>
          <w:iCs/>
          <w:sz w:val="22"/>
          <w:szCs w:val="22"/>
        </w:rPr>
        <w:t>Teaching tip: If students struggle with the break-even calculation, direct them to Exhibit 7 first and ask them to classify each line item as fixed or variable before attempting the arithmetic. A common error is treating labour as entirely variable; the instructor should clarify that the base payroll is fixed in the short run, while overtime and temporary labour are variable.</w:t>
      </w:r>
    </w:p>
    <w:p w14:paraId="6CBEB0C7"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b/>
          <w:bCs/>
          <w:sz w:val="22"/>
          <w:szCs w:val="22"/>
        </w:rPr>
        <w:t>Question 2:</w:t>
      </w:r>
    </w:p>
    <w:p w14:paraId="6A90B18F" w14:textId="77777777" w:rsidR="003038B6" w:rsidRDefault="00000000">
      <w:pPr>
        <w:pStyle w:val="BodyText"/>
      </w:pPr>
      <w:r w:rsidRPr="00B622DE">
        <w:rPr>
          <w:rFonts w:ascii="Times New Roman" w:hAnsi="Times New Roman" w:cs="Times New Roman"/>
          <w:b/>
          <w:bCs/>
          <w:i/>
          <w:iCs/>
          <w:sz w:val="22"/>
          <w:szCs w:val="22"/>
        </w:rPr>
        <w:t>Evaluate the three strategic options (Exhibit 3) using a decision matrix that weighs financial viability, operational risk, stakeholder impact, and strategic positioning.</w:t>
      </w:r>
      <w:r w:rsidRPr="00B622DE">
        <w:rPr>
          <w:b/>
          <w:bCs/>
          <w:i/>
          <w:iCs/>
          <w:sz w:val="22"/>
          <w:szCs w:val="22"/>
        </w:rPr>
        <w:t xml:space="preserve"> </w:t>
      </w:r>
      <w:r w:rsidRPr="00B622DE">
        <w:rPr>
          <w:rFonts w:ascii="Times New Roman" w:hAnsi="Times New Roman" w:cs="Times New Roman"/>
          <w:b/>
          <w:bCs/>
          <w:i/>
          <w:iCs/>
          <w:sz w:val="22"/>
          <w:szCs w:val="22"/>
        </w:rPr>
        <w:t>Which option would you recommend, and under what assumptions does your recommendation hold?</w:t>
      </w:r>
    </w:p>
    <w:p w14:paraId="4BF8B11C"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A decision matrix with four criteria provides a structured approach to this evaluation: financial viability, operational risk, stakeholder impact, and strategic positioning. The weights below are suggestive. Part of the exercise is having students argue for their own weighting.</w:t>
      </w:r>
    </w:p>
    <w:tbl>
      <w:tblPr>
        <w:tblStyle w:val="PlainTable2"/>
        <w:tblW w:w="4966" w:type="pct"/>
        <w:jc w:val="center"/>
        <w:tblLayout w:type="fixed"/>
        <w:tblLook w:val="0020" w:firstRow="1" w:lastRow="0" w:firstColumn="0" w:lastColumn="0" w:noHBand="0" w:noVBand="0"/>
      </w:tblPr>
      <w:tblGrid>
        <w:gridCol w:w="2088"/>
        <w:gridCol w:w="2815"/>
        <w:gridCol w:w="2304"/>
        <w:gridCol w:w="2304"/>
      </w:tblGrid>
      <w:tr w:rsidR="003038B6" w14:paraId="120CD6BA" w14:textId="77777777" w:rsidTr="00B622D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8" w:type="dxa"/>
            <w:shd w:val="clear" w:color="auto" w:fill="D9F2D0" w:themeFill="accent6" w:themeFillTint="33"/>
          </w:tcPr>
          <w:p w14:paraId="1EAF6A2C"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lastRenderedPageBreak/>
              <w:t>Criterion (suggested weight)</w:t>
            </w:r>
          </w:p>
        </w:tc>
        <w:tc>
          <w:tcPr>
            <w:cnfStyle w:val="000001000000" w:firstRow="0" w:lastRow="0" w:firstColumn="0" w:lastColumn="0" w:oddVBand="0" w:evenVBand="1" w:oddHBand="0" w:evenHBand="0" w:firstRowFirstColumn="0" w:firstRowLastColumn="0" w:lastRowFirstColumn="0" w:lastRowLastColumn="0"/>
            <w:tcW w:w="2815" w:type="dxa"/>
            <w:shd w:val="clear" w:color="auto" w:fill="D9F2D0" w:themeFill="accent6" w:themeFillTint="33"/>
          </w:tcPr>
          <w:p w14:paraId="4A88DC25"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Option A: Green Pivot</w:t>
            </w:r>
          </w:p>
        </w:tc>
        <w:tc>
          <w:tcPr>
            <w:cnfStyle w:val="000010000000" w:firstRow="0" w:lastRow="0" w:firstColumn="0" w:lastColumn="0" w:oddVBand="1" w:evenVBand="0" w:oddHBand="0" w:evenHBand="0" w:firstRowFirstColumn="0" w:firstRowLastColumn="0" w:lastRowFirstColumn="0" w:lastRowLastColumn="0"/>
            <w:tcW w:w="2304" w:type="dxa"/>
            <w:shd w:val="clear" w:color="auto" w:fill="D9F2D0" w:themeFill="accent6" w:themeFillTint="33"/>
          </w:tcPr>
          <w:p w14:paraId="7F726030"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Option B: Hybrid Lean</w:t>
            </w:r>
          </w:p>
        </w:tc>
        <w:tc>
          <w:tcPr>
            <w:cnfStyle w:val="000001000000" w:firstRow="0" w:lastRow="0" w:firstColumn="0" w:lastColumn="0" w:oddVBand="0" w:evenVBand="1" w:oddHBand="0" w:evenHBand="0" w:firstRowFirstColumn="0" w:firstRowLastColumn="0" w:lastRowFirstColumn="0" w:lastRowLastColumn="0"/>
            <w:tcW w:w="2304" w:type="dxa"/>
            <w:shd w:val="clear" w:color="auto" w:fill="D9F2D0" w:themeFill="accent6" w:themeFillTint="33"/>
          </w:tcPr>
          <w:p w14:paraId="61E10F17"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Option C: Exit</w:t>
            </w:r>
          </w:p>
        </w:tc>
      </w:tr>
      <w:tr w:rsidR="003038B6" w14:paraId="62FBBEEA" w14:textId="77777777" w:rsidTr="00B622D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8" w:type="dxa"/>
          </w:tcPr>
          <w:p w14:paraId="11964A3B"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Financial viability (30%)</w:t>
            </w:r>
          </w:p>
        </w:tc>
        <w:tc>
          <w:tcPr>
            <w:cnfStyle w:val="000001000000" w:firstRow="0" w:lastRow="0" w:firstColumn="0" w:lastColumn="0" w:oddVBand="0" w:evenVBand="1" w:oddHBand="0" w:evenHBand="0" w:firstRowFirstColumn="0" w:firstRowLastColumn="0" w:lastRowFirstColumn="0" w:lastRowLastColumn="0"/>
            <w:tcW w:w="2815" w:type="dxa"/>
          </w:tcPr>
          <w:p w14:paraId="4DAA76CD"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High upside (US$10,870–16,304/month net profit) but extreme downside risk. Total debt reaches US$603,261 at 14%.</w:t>
            </w:r>
          </w:p>
        </w:tc>
        <w:tc>
          <w:tcPr>
            <w:cnfStyle w:val="000010000000" w:firstRow="0" w:lastRow="0" w:firstColumn="0" w:lastColumn="0" w:oddVBand="1" w:evenVBand="0" w:oddHBand="0" w:evenHBand="0" w:firstRowFirstColumn="0" w:firstRowLastColumn="0" w:lastRowFirstColumn="0" w:lastRowLastColumn="0"/>
            <w:tcW w:w="2304" w:type="dxa"/>
          </w:tcPr>
          <w:p w14:paraId="1F9C673F"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Does not reach break-even. Slows the bleed but does not stop it.</w:t>
            </w:r>
          </w:p>
        </w:tc>
        <w:tc>
          <w:tcPr>
            <w:cnfStyle w:val="000001000000" w:firstRow="0" w:lastRow="0" w:firstColumn="0" w:lastColumn="0" w:oddVBand="0" w:evenVBand="1" w:oddHBand="0" w:evenHBand="0" w:firstRowFirstColumn="0" w:firstRowLastColumn="0" w:lastRowFirstColumn="0" w:lastRowLastColumn="0"/>
            <w:tcW w:w="2304" w:type="dxa"/>
          </w:tcPr>
          <w:p w14:paraId="4E31AE62"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Stops losses immediately. US$108,696 residual debt remains.</w:t>
            </w:r>
          </w:p>
        </w:tc>
      </w:tr>
      <w:tr w:rsidR="003038B6" w14:paraId="36083838" w14:textId="77777777" w:rsidTr="00B622DE">
        <w:trPr>
          <w:jc w:val="center"/>
        </w:trPr>
        <w:tc>
          <w:tcPr>
            <w:cnfStyle w:val="000010000000" w:firstRow="0" w:lastRow="0" w:firstColumn="0" w:lastColumn="0" w:oddVBand="1" w:evenVBand="0" w:oddHBand="0" w:evenHBand="0" w:firstRowFirstColumn="0" w:firstRowLastColumn="0" w:lastRowFirstColumn="0" w:lastRowLastColumn="0"/>
            <w:tcW w:w="2088" w:type="dxa"/>
          </w:tcPr>
          <w:p w14:paraId="6ED804A0"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Operational risk (25%)</w:t>
            </w:r>
          </w:p>
        </w:tc>
        <w:tc>
          <w:tcPr>
            <w:cnfStyle w:val="000001000000" w:firstRow="0" w:lastRow="0" w:firstColumn="0" w:lastColumn="0" w:oddVBand="0" w:evenVBand="1" w:oddHBand="0" w:evenHBand="0" w:firstRowFirstColumn="0" w:firstRowLastColumn="0" w:lastRowFirstColumn="0" w:lastRowLastColumn="0"/>
            <w:tcW w:w="2815" w:type="dxa"/>
          </w:tcPr>
          <w:p w14:paraId="7036645C"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High. Assumes full capacity from day one, labor returns, market holds, subsidy arrives on time.</w:t>
            </w:r>
          </w:p>
        </w:tc>
        <w:tc>
          <w:tcPr>
            <w:cnfStyle w:val="000010000000" w:firstRow="0" w:lastRow="0" w:firstColumn="0" w:lastColumn="0" w:oddVBand="1" w:evenVBand="0" w:oddHBand="0" w:evenHBand="0" w:firstRowFirstColumn="0" w:firstRowLastColumn="0" w:lastRowFirstColumn="0" w:lastRowLastColumn="0"/>
            <w:tcW w:w="2304" w:type="dxa"/>
          </w:tcPr>
          <w:p w14:paraId="71B50F63"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Low. Proven technology, incremental change, no production shutdown.</w:t>
            </w:r>
          </w:p>
        </w:tc>
        <w:tc>
          <w:tcPr>
            <w:cnfStyle w:val="000001000000" w:firstRow="0" w:lastRow="0" w:firstColumn="0" w:lastColumn="0" w:oddVBand="0" w:evenVBand="1" w:oddHBand="0" w:evenHBand="0" w:firstRowFirstColumn="0" w:firstRowLastColumn="0" w:lastRowFirstColumn="0" w:lastRowLastColumn="0"/>
            <w:tcW w:w="2304" w:type="dxa"/>
          </w:tcPr>
          <w:p w14:paraId="4A1C2D72"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None. Operations cease.</w:t>
            </w:r>
          </w:p>
        </w:tc>
      </w:tr>
      <w:tr w:rsidR="003038B6" w14:paraId="7E0F1117" w14:textId="77777777" w:rsidTr="00B622D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088" w:type="dxa"/>
          </w:tcPr>
          <w:p w14:paraId="746192F5"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Stakeholder impact (25%)</w:t>
            </w:r>
          </w:p>
        </w:tc>
        <w:tc>
          <w:tcPr>
            <w:cnfStyle w:val="000001000000" w:firstRow="0" w:lastRow="0" w:firstColumn="0" w:lastColumn="0" w:oddVBand="0" w:evenVBand="1" w:oddHBand="0" w:evenHBand="0" w:firstRowFirstColumn="0" w:firstRowLastColumn="0" w:lastRowFirstColumn="0" w:lastRowLastColumn="0"/>
            <w:tcW w:w="2815" w:type="dxa"/>
          </w:tcPr>
          <w:p w14:paraId="5E4FC04E"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Positive if successful: retains and attracts workers, transforms community standing.</w:t>
            </w:r>
          </w:p>
        </w:tc>
        <w:tc>
          <w:tcPr>
            <w:cnfStyle w:val="000010000000" w:firstRow="0" w:lastRow="0" w:firstColumn="0" w:lastColumn="0" w:oddVBand="1" w:evenVBand="0" w:oddHBand="0" w:evenHBand="0" w:firstRowFirstColumn="0" w:firstRowLastColumn="0" w:lastRowFirstColumn="0" w:lastRowLastColumn="0"/>
            <w:tcW w:w="2304" w:type="dxa"/>
          </w:tcPr>
          <w:p w14:paraId="3491618E"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Neutral to negative: workers continue to leave, slow decline.</w:t>
            </w:r>
          </w:p>
        </w:tc>
        <w:tc>
          <w:tcPr>
            <w:cnfStyle w:val="000001000000" w:firstRow="0" w:lastRow="0" w:firstColumn="0" w:lastColumn="0" w:oddVBand="0" w:evenVBand="1" w:oddHBand="0" w:evenHBand="0" w:firstRowFirstColumn="0" w:firstRowLastColumn="0" w:lastRowFirstColumn="0" w:lastRowLastColumn="0"/>
            <w:tcW w:w="2304" w:type="dxa"/>
          </w:tcPr>
          <w:p w14:paraId="485849AB"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Highly negative: 12+ permanent workers displaced, community loss.</w:t>
            </w:r>
          </w:p>
        </w:tc>
      </w:tr>
      <w:tr w:rsidR="003038B6" w14:paraId="4659E61B" w14:textId="77777777" w:rsidTr="00B622DE">
        <w:trPr>
          <w:jc w:val="center"/>
        </w:trPr>
        <w:tc>
          <w:tcPr>
            <w:cnfStyle w:val="000010000000" w:firstRow="0" w:lastRow="0" w:firstColumn="0" w:lastColumn="0" w:oddVBand="1" w:evenVBand="0" w:oddHBand="0" w:evenHBand="0" w:firstRowFirstColumn="0" w:firstRowLastColumn="0" w:lastRowFirstColumn="0" w:lastRowLastColumn="0"/>
            <w:tcW w:w="2088" w:type="dxa"/>
          </w:tcPr>
          <w:p w14:paraId="230F95BF"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Strategic positioning (20%)</w:t>
            </w:r>
          </w:p>
        </w:tc>
        <w:tc>
          <w:tcPr>
            <w:cnfStyle w:val="000001000000" w:firstRow="0" w:lastRow="0" w:firstColumn="0" w:lastColumn="0" w:oddVBand="0" w:evenVBand="1" w:oddHBand="0" w:evenHBand="0" w:firstRowFirstColumn="0" w:firstRowLastColumn="0" w:lastRowFirstColumn="0" w:lastRowLastColumn="0"/>
            <w:tcW w:w="2815" w:type="dxa"/>
          </w:tcPr>
          <w:p w14:paraId="27F07391"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Strong. Matches competitors, enables sale-purchase pivot, energy independence.</w:t>
            </w:r>
          </w:p>
        </w:tc>
        <w:tc>
          <w:tcPr>
            <w:cnfStyle w:val="000010000000" w:firstRow="0" w:lastRow="0" w:firstColumn="0" w:lastColumn="0" w:oddVBand="1" w:evenVBand="0" w:oddHBand="0" w:evenHBand="0" w:firstRowFirstColumn="0" w:firstRowLastColumn="0" w:lastRowFirstColumn="0" w:lastRowLastColumn="0"/>
            <w:tcW w:w="2304" w:type="dxa"/>
          </w:tcPr>
          <w:p w14:paraId="4E8E3779"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Weak. Remains in the commodity trap with obsolete technology.</w:t>
            </w:r>
          </w:p>
        </w:tc>
        <w:tc>
          <w:tcPr>
            <w:cnfStyle w:val="000001000000" w:firstRow="0" w:lastRow="0" w:firstColumn="0" w:lastColumn="0" w:oddVBand="0" w:evenVBand="1" w:oddHBand="0" w:evenHBand="0" w:firstRowFirstColumn="0" w:firstRowLastColumn="0" w:lastRowFirstColumn="0" w:lastRowLastColumn="0"/>
            <w:tcW w:w="2304" w:type="dxa"/>
          </w:tcPr>
          <w:p w14:paraId="40F306D5" w14:textId="77777777" w:rsidR="003038B6" w:rsidRPr="00B622DE" w:rsidRDefault="00000000">
            <w:pPr>
              <w:pStyle w:val="Compact"/>
              <w:jc w:val="center"/>
              <w:rPr>
                <w:rFonts w:ascii="Times New Roman" w:hAnsi="Times New Roman" w:cs="Times New Roman"/>
                <w:sz w:val="22"/>
                <w:szCs w:val="22"/>
              </w:rPr>
            </w:pPr>
            <w:r w:rsidRPr="00B622DE">
              <w:rPr>
                <w:rFonts w:ascii="Times New Roman" w:hAnsi="Times New Roman" w:cs="Times New Roman"/>
                <w:sz w:val="22"/>
                <w:szCs w:val="22"/>
              </w:rPr>
              <w:t>None. Exits the industry.</w:t>
            </w:r>
          </w:p>
        </w:tc>
      </w:tr>
    </w:tbl>
    <w:p w14:paraId="01DD73A7"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The class will likely split into three camps.</w:t>
      </w:r>
    </w:p>
    <w:p w14:paraId="27AA78FA"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Those favoring Option A will point to the break-even analysis from Q1 as proof that incremental measures cannot save Sai Tex. The only path to viability is a step-change in capacity and business model. The MAHA-TUFS subsidy (up to 25%) and solar energy independence reduce the effective risk. Two competitors in the same Park have already succeeded with this path.</w:t>
      </w:r>
    </w:p>
    <w:p w14:paraId="51EFE836"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Those favoring Option B will counter that Option A's assumptions are heroic. Full capacity from day one? Stable domestic market? Timely subsidy disbursement? Labor returning to a unit still under construction? Option B preserves optionality. It buys 2–3 years during which market conditions may improve, subsidy access may become easier, or Patil may accumulate savings toward a future upgrade without risking the family home.</w:t>
      </w:r>
    </w:p>
    <w:p w14:paraId="7BAC44D8" w14:textId="77777777" w:rsidR="003038B6" w:rsidRPr="00B622DE" w:rsidRDefault="00000000">
      <w:pPr>
        <w:pStyle w:val="BodyText"/>
        <w:rPr>
          <w:rFonts w:ascii="Times New Roman" w:hAnsi="Times New Roman" w:cs="Times New Roman"/>
          <w:sz w:val="22"/>
          <w:szCs w:val="22"/>
        </w:rPr>
      </w:pPr>
      <w:r w:rsidRPr="00B622DE">
        <w:rPr>
          <w:rFonts w:ascii="Times New Roman" w:hAnsi="Times New Roman" w:cs="Times New Roman"/>
          <w:sz w:val="22"/>
          <w:szCs w:val="22"/>
        </w:rPr>
        <w:t>A smaller group will argue for Option C. The US$21,739 resale value against US$130,435 in debt means Patil is already deeply underwater. Adding US$472,826 of new debt at 14 per cent in a declining market is a gamble, not a strategy. Preserving the family's remaining assets is the responsible choice.</w:t>
      </w:r>
    </w:p>
    <w:p w14:paraId="1AD9FB85" w14:textId="77777777" w:rsidR="003038B6" w:rsidRDefault="00000000">
      <w:pPr>
        <w:pStyle w:val="BodyText"/>
      </w:pPr>
      <w:r w:rsidRPr="00B622DE">
        <w:rPr>
          <w:rFonts w:ascii="Times New Roman" w:hAnsi="Times New Roman" w:cs="Times New Roman"/>
          <w:sz w:val="22"/>
          <w:szCs w:val="22"/>
        </w:rPr>
        <w:t>The key point to draw out: Option A's attractiveness depends on four assumptions holding simultaneously. The domestic fabric market must hold. The MAHA-TUFS subsidy must be disbursed on time. The air-jet looms must run at capacity from day one. And migrant workers must return. If any one fails, the interest on US$603,261 at 14 per cent consumes the family home. The case is deliberately designed so that no option is clearly dominant.</w:t>
      </w:r>
      <w:r w:rsidRPr="00B622DE">
        <w:rPr>
          <w:sz w:val="22"/>
          <w:szCs w:val="22"/>
        </w:rPr>
        <w:t xml:space="preserve"> </w:t>
      </w:r>
      <w:r w:rsidRPr="00C45C5F">
        <w:rPr>
          <w:rFonts w:ascii="Times New Roman" w:hAnsi="Times New Roman" w:cs="Times New Roman"/>
          <w:sz w:val="22"/>
          <w:szCs w:val="22"/>
        </w:rPr>
        <w:t>The "right" answer depends on the student's risk tolerance, discount rate, and weighting of non-financial factors.</w:t>
      </w:r>
    </w:p>
    <w:p w14:paraId="3792EA1E" w14:textId="7C77FCE6" w:rsidR="003038B6" w:rsidRDefault="00000000">
      <w:pPr>
        <w:pStyle w:val="BodyText"/>
      </w:pPr>
      <w:r w:rsidRPr="00C45C5F">
        <w:rPr>
          <w:rFonts w:ascii="Times New Roman" w:hAnsi="Times New Roman" w:cs="Times New Roman"/>
          <w:i/>
          <w:iCs/>
          <w:sz w:val="22"/>
          <w:szCs w:val="22"/>
        </w:rPr>
        <w:t>Teaching tip: After groups present their decision matrices, ask each group to identify the single assumption that, if it failed, would cause them to switch their recommendation. This forces students to stress-test their own logic rather than defend a position</w:t>
      </w:r>
      <w:r w:rsidR="00C45C5F">
        <w:rPr>
          <w:rFonts w:ascii="Times New Roman" w:hAnsi="Times New Roman" w:cs="Times New Roman"/>
          <w:i/>
          <w:iCs/>
          <w:sz w:val="22"/>
          <w:szCs w:val="22"/>
        </w:rPr>
        <w:t>.</w:t>
      </w:r>
    </w:p>
    <w:p w14:paraId="1A2C61B5"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sz w:val="22"/>
          <w:szCs w:val="22"/>
        </w:rPr>
        <w:t>Question 3:</w:t>
      </w:r>
    </w:p>
    <w:p w14:paraId="33AD2A4E"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i/>
          <w:iCs/>
          <w:sz w:val="22"/>
          <w:szCs w:val="22"/>
        </w:rPr>
        <w:lastRenderedPageBreak/>
        <w:t>How does the Red Queen Effect explain Sai Tex's competitive decline? Identify the specific mechanisms through which technological stagnation has created a self-reinforcing cycle of decline for the firm.</w:t>
      </w:r>
    </w:p>
    <w:p w14:paraId="153CCC1A"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Red Queen Effect (Barnett and Hansen, 1996) describes a competitive dynamic in which firms must continuously adapt merely to maintain their relative position. The case title invokes this metaphor directly, and the mechanism operating at Sai Tex illustrates the theory with precision.</w:t>
      </w:r>
    </w:p>
    <w:p w14:paraId="586ECC26"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self-reinforcing cycle operates through a sequence of linked competitive disadvantages. Sai Tex's rapier looms operate at 300 RPM, producing approximately 100 metres per day per machine. Competitors equipped with air-jet looms run at 1,200 RPM and produce 400 metres per day. This four-fold throughput differential means Sai Tex distributes its fixed costs across far fewer metres of output, resulting in elevated per-unit costs. Higher per-unit costs compress margins, which in turn prevent Patil from matching the wages that competitors with newer machines offer (approximately 10 per cent higher). Workers therefore migrate to better-equipped units. With fewer workers, Sai Tex operates at 50 per cent capacity, which drives per-unit costs higher still. Compressed margins also preclude the capital accumulation necessary to finance an upgrade. Each link in this chain reinforces the next.</w:t>
      </w:r>
    </w:p>
    <w:p w14:paraId="2D9AAB51"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At the cluster level, a notable structural shift has occurred. Ichhalkaranji's historical competitive advantage rested on flexibility and dense local networks; a weaver could secure a new customer within days. That same network density, however, now enables workers to identify better-paying employers with equal speed. The cluster's basis of competition has shifted from transactional flexibility to technological capability, and units that have not upgraded are being systematically selected out.</w:t>
      </w:r>
    </w:p>
    <w:p w14:paraId="21AB1047"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US tariff imposed in August 2024 did not create this dynamic. It accelerated a pre-existing decline. The technology gap existed before the tariff. The tariff's effect was to flood the domestic market with surplus fabric from export-oriented units, compressing job-work rates below break-even. External shocks disproportionately harm firms that are already competitively weakened, and Sai Tex was already in that position.</w:t>
      </w:r>
    </w:p>
    <w:p w14:paraId="3A9C4311"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This analysis explains why Option B is strategically insufficient even if it is financially safer. Retrofitting 15-year-old machines does not alter Sai Tex's position on the technology curve; it merely decelerates the rate of decline. Competitors who have already upgraded will continue to attract workers, capture clients, and exert downward pressure on rates. Option B amounts to running faster on the same treadmill. Option A represents a shift to a faster one.</w:t>
      </w:r>
    </w:p>
    <w:p w14:paraId="17C5C3C3" w14:textId="1D097B38" w:rsidR="003038B6" w:rsidRDefault="00000000">
      <w:pPr>
        <w:pStyle w:val="BodyText"/>
      </w:pPr>
      <w:r w:rsidRPr="00C45C5F">
        <w:rPr>
          <w:rFonts w:ascii="Times New Roman" w:hAnsi="Times New Roman" w:cs="Times New Roman"/>
          <w:i/>
          <w:iCs/>
          <w:sz w:val="22"/>
          <w:szCs w:val="22"/>
        </w:rPr>
        <w:t>Teaching tip: Draw the Red Queen vicious cycle on the board (see Exhibit TN-4) and ask students to identify which node they would intervene at first. This surfaces the distinction between treating symptoms (labour, energy) and addressing root causes (technology).</w:t>
      </w:r>
    </w:p>
    <w:p w14:paraId="18F3C87D"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sz w:val="22"/>
          <w:szCs w:val="22"/>
        </w:rPr>
        <w:t>Question 4:</w:t>
      </w:r>
    </w:p>
    <w:p w14:paraId="5B5F232C"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i/>
          <w:iCs/>
          <w:sz w:val="22"/>
          <w:szCs w:val="22"/>
        </w:rPr>
        <w:t>Apply the Theory of Constraints to Sai Tex's operations. What is the binding constraint: technology, labor, market access, or capital? How does identifying the correct constraint change the recommended course of action?</w:t>
      </w:r>
    </w:p>
    <w:p w14:paraId="6BD53EED"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Theory of Constraints (Goldratt and Cox, 2004) posits that every system's throughput is limited by a single binding constraint. Identifying and addressing that constraint is the prerequisite for improving system performance. In Sai Tex's case, four candidate constraints merit examination.</w:t>
      </w:r>
    </w:p>
    <w:p w14:paraId="6EDBF22C"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Technology.</w:t>
      </w:r>
      <w:r w:rsidRPr="00C45C5F">
        <w:rPr>
          <w:rFonts w:ascii="Times New Roman" w:hAnsi="Times New Roman" w:cs="Times New Roman"/>
          <w:sz w:val="22"/>
          <w:szCs w:val="22"/>
        </w:rPr>
        <w:t xml:space="preserve"> The evidence in favor: a four-fold throughput gap (300 RPM versus 1,200 RPM) and 15-year-old machines operating well below current industry standards. The evidence</w:t>
      </w:r>
      <w:r w:rsidRPr="00C45C5F">
        <w:rPr>
          <w:sz w:val="22"/>
          <w:szCs w:val="22"/>
        </w:rPr>
        <w:t xml:space="preserve"> </w:t>
      </w:r>
      <w:r w:rsidRPr="00C45C5F">
        <w:rPr>
          <w:rFonts w:ascii="Times New Roman" w:hAnsi="Times New Roman" w:cs="Times New Roman"/>
          <w:sz w:val="22"/>
          <w:szCs w:val="22"/>
        </w:rPr>
        <w:t>against even the</w:t>
      </w:r>
      <w:r w:rsidRPr="00C45C5F">
        <w:rPr>
          <w:sz w:val="22"/>
          <w:szCs w:val="22"/>
        </w:rPr>
        <w:t xml:space="preserve"> </w:t>
      </w:r>
      <w:r w:rsidRPr="00C45C5F">
        <w:rPr>
          <w:rFonts w:ascii="Times New Roman" w:hAnsi="Times New Roman" w:cs="Times New Roman"/>
          <w:sz w:val="22"/>
          <w:szCs w:val="22"/>
        </w:rPr>
        <w:t>existing machines are utilized at only 50 per cent of their capacity, suggesting that the technology is not the immediate bottleneck in production scheduling.</w:t>
      </w:r>
    </w:p>
    <w:p w14:paraId="06E6675E"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lastRenderedPageBreak/>
        <w:t>Labor.</w:t>
      </w:r>
      <w:r w:rsidRPr="00C45C5F">
        <w:rPr>
          <w:rFonts w:ascii="Times New Roman" w:hAnsi="Times New Roman" w:cs="Times New Roman"/>
          <w:sz w:val="22"/>
          <w:szCs w:val="22"/>
        </w:rPr>
        <w:t xml:space="preserve"> The evidence in favor: 50 per cent capacity utilization, workers departing for upgraded mills offering approximately 10 per cent higher wages. The counterargument: labor attrition is a consequence of the wage gap created by lower margins on older machines. Workers leave because Sai Tex's technology cannot generate sufficient margin to fund competitive wages. The labor drain is a symptom of the underlying economic gap, not its root cause.</w:t>
      </w:r>
    </w:p>
    <w:p w14:paraId="50182B7B"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Market access.</w:t>
      </w:r>
      <w:r w:rsidRPr="00C45C5F">
        <w:rPr>
          <w:rFonts w:ascii="Times New Roman" w:hAnsi="Times New Roman" w:cs="Times New Roman"/>
          <w:sz w:val="22"/>
          <w:szCs w:val="22"/>
        </w:rPr>
        <w:t xml:space="preserve"> The evidence in favor: the job-work rate has fallen below break-even, Patil has no pricing power, and the export market has contracted by 40 per cent. The counterargument: under the sale-purchase model, market access changes entirely. This constraint is model-dependent rather than absolute.</w:t>
      </w:r>
    </w:p>
    <w:p w14:paraId="4A48FF93"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Capital.</w:t>
      </w:r>
      <w:r w:rsidRPr="00C45C5F">
        <w:rPr>
          <w:rFonts w:ascii="Times New Roman" w:hAnsi="Times New Roman" w:cs="Times New Roman"/>
          <w:sz w:val="22"/>
          <w:szCs w:val="22"/>
        </w:rPr>
        <w:t xml:space="preserve"> The evidence in favor: US$130,435 in existing debt, a 14 per cent interest rate, the bank's requirement of the family bungalow as collateral, and the absence of formal financial records. The counterargument: MAHA-TUFS could offset 25 per cent of the investment, and capital is available if collateral is pledged. This constraint is binding but relaxable.</w:t>
      </w:r>
    </w:p>
    <w:p w14:paraId="6D8187D6"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analysis points to technology as the root constraint. Labor, market, and capital constraints are downstream effects. Technology limits wage competitiveness, which drives labor attrition, which drives capacity underutilization, which drives per-unit cost inflation, which drives the inability to accumulate capital for upgrades. The constraints are nested and interactive.</w:t>
      </w:r>
    </w:p>
    <w:p w14:paraId="1D4509FD"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If technology is the root constraint, then all other decisions (business model, energy, workforce) should be subordinated to resolving the technology gap. This points toward Option A.</w:t>
      </w:r>
    </w:p>
    <w:p w14:paraId="7C9D024D"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If capital is the root constraint, the priority shifts to finding the lowest-capital path to viability. That points toward Option B as a bridge, or toward creative financing (phased upgrade, leasing, cooperative investment) that the case does not explicitly offer but that students may propose.</w:t>
      </w:r>
    </w:p>
    <w:p w14:paraId="2E6E4A8C"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TOC analysis reinforces the Red Queen argument: Option B addresses symptoms (energy costs, working conditions) but not the root constraint (technology). Breaking the cycle requires addressing the root, not the symptoms.</w:t>
      </w:r>
    </w:p>
    <w:p w14:paraId="582E9907" w14:textId="7A825E14"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Teaching tip: Some students may propose creative alternatives not explicitly in the case (phased upgrade, leasing, cooperative investment). Encourage these contributions as they demonstrate constraint-relaxation thinking, which is central to TOC. Ask the student to quantify their proposal using the case exhibits.</w:t>
      </w:r>
    </w:p>
    <w:p w14:paraId="0EB175EA"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sz w:val="22"/>
          <w:szCs w:val="22"/>
        </w:rPr>
        <w:t>Question 5:</w:t>
      </w:r>
    </w:p>
    <w:p w14:paraId="490559B7"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i/>
          <w:iCs/>
          <w:sz w:val="22"/>
          <w:szCs w:val="22"/>
        </w:rPr>
        <w:t>Patil's father instilled in him the belief that "if you have the means to give someone a livelihood, you have the duty to do it." How does this socio-emotional wealth orientation affect Patil's strategic calculus? Should non-financial considerations change the recommended option? Why or why not?</w:t>
      </w:r>
    </w:p>
    <w:p w14:paraId="6D4F94CC"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SEW framework (Gómez-Mejía et al., 2007; Berrone et al., 2012) identifies five dimensions of non-financial value that family firm owners seek to preserve. Each dimension is observable in Sai Tex's situation.</w:t>
      </w:r>
    </w:p>
    <w:p w14:paraId="210C55B7"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Family control and influence.</w:t>
      </w:r>
      <w:r w:rsidRPr="00C45C5F">
        <w:rPr>
          <w:rFonts w:ascii="Times New Roman" w:hAnsi="Times New Roman" w:cs="Times New Roman"/>
          <w:sz w:val="22"/>
          <w:szCs w:val="22"/>
        </w:rPr>
        <w:t xml:space="preserve"> Patil is sole proprietor. Every decision is his. Option A requires pledging the family bungalow, effectively transferring control to the bank.</w:t>
      </w:r>
    </w:p>
    <w:p w14:paraId="71410DD7"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Identification with the firm.</w:t>
      </w:r>
      <w:r w:rsidRPr="00C45C5F">
        <w:rPr>
          <w:rFonts w:ascii="Times New Roman" w:hAnsi="Times New Roman" w:cs="Times New Roman"/>
          <w:sz w:val="22"/>
          <w:szCs w:val="22"/>
        </w:rPr>
        <w:t xml:space="preserve"> The case states it directly: "The mill was not merely a business but an extension of Patil's identity and social obligations." This makes Option C psychologically and socially unacceptable, even when the numbers might favor it.</w:t>
      </w:r>
    </w:p>
    <w:p w14:paraId="67BCF26E"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lastRenderedPageBreak/>
        <w:t>Binding social ties.</w:t>
      </w:r>
      <w:r w:rsidRPr="00C45C5F">
        <w:rPr>
          <w:rFonts w:ascii="Times New Roman" w:hAnsi="Times New Roman" w:cs="Times New Roman"/>
          <w:sz w:val="22"/>
          <w:szCs w:val="22"/>
        </w:rPr>
        <w:t xml:space="preserve"> Twelve permanent employees depend on Sai Tex. Shivmani Mishra has been with the firm since founding. Patil supports local schools. These obligations do not appear on a balance sheet, but they weigh on the decision.</w:t>
      </w:r>
    </w:p>
    <w:p w14:paraId="56AD536E"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Emotional attachment.</w:t>
      </w:r>
      <w:r w:rsidRPr="00C45C5F">
        <w:rPr>
          <w:rFonts w:ascii="Times New Roman" w:hAnsi="Times New Roman" w:cs="Times New Roman"/>
          <w:sz w:val="22"/>
          <w:szCs w:val="22"/>
        </w:rPr>
        <w:t xml:space="preserve"> His father's legacy: "If you have the means to give someone a livelihood, you have the duty to do it." That sentence weighs against exit even when exit is financially rational.</w:t>
      </w:r>
    </w:p>
    <w:p w14:paraId="52668B43"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i/>
          <w:iCs/>
          <w:sz w:val="22"/>
          <w:szCs w:val="22"/>
        </w:rPr>
        <w:t>Renewal through dynastic succession.</w:t>
      </w:r>
      <w:r w:rsidRPr="00C45C5F">
        <w:rPr>
          <w:rFonts w:ascii="Times New Roman" w:hAnsi="Times New Roman" w:cs="Times New Roman"/>
          <w:sz w:val="22"/>
          <w:szCs w:val="22"/>
        </w:rPr>
        <w:t xml:space="preserve"> Not directly addressed, since Patil is first-generation. But the bungalow represents intergenerational family wealth, and Option A puts it at risk.</w:t>
      </w:r>
    </w:p>
    <w:p w14:paraId="42F95D2F"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A purely financial analysis might favor Option C. It stops the losses and preserves remaining family assets. But SEW theory predicts that family firm owners will accept greater financial risk to preserve non-financial value. Patil's identification with the firm, his ties to workers, and his father's legacy all create a strong SEW-preservation motive that makes exit psychologically unacceptable.</w:t>
      </w:r>
    </w:p>
    <w:p w14:paraId="7378B7BA"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tension is real. SEW preservation pushes Patil toward Option A (the only option that preserves the firm and its social role), but Option A also poses the greatest threat to SEW if it fails. Losing the family bungalow would destroy the very family wealth and stability that SEW is meant to protect.</w:t>
      </w:r>
    </w:p>
    <w:p w14:paraId="792D4ABC"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class debate will likely produce three positions. Some students will argue that SEW considerations are a form of cognitive bias, that Patil is letting emotional attachment cloud his judgment. Others will counter that SEW is not irrational; it reflects a different utility function. Patil's social capital, community standing, and personal identity are real assets with economic value (worker loyalty, supplier trust, cooperative membership). Destroying them through exit has costs that a financial model does not capture. The most thoughtful students will reframe the question: not "should SEW matter?" but "how much risk is SEW worth?", and the answer depends on the probability-weighted outcomes of Option A.</w:t>
      </w:r>
    </w:p>
    <w:p w14:paraId="59990B5A"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The central pedagogical insight: real-world strategic decisions in MSMEs and family firms are never purely financial. Patil's decision is genuinely difficult not because he lacks information, but because his financial and non-financial objectives pull in opposite directions.</w:t>
      </w:r>
    </w:p>
    <w:p w14:paraId="5F555BAD" w14:textId="2224419E" w:rsidR="003038B6" w:rsidRDefault="00000000">
      <w:pPr>
        <w:pStyle w:val="BodyText"/>
      </w:pPr>
      <w:r w:rsidRPr="00C45C5F">
        <w:rPr>
          <w:rFonts w:ascii="Times New Roman" w:hAnsi="Times New Roman" w:cs="Times New Roman"/>
          <w:i/>
          <w:iCs/>
          <w:sz w:val="22"/>
          <w:szCs w:val="22"/>
        </w:rPr>
        <w:t>Teaching tip: If the class converges too quickly on Option A or Option C, ask a student to argue the opposite position. For Option C advocates, ask: “What would Patil’s father say?” For Option A advocates, ask: “Would you pledge your own home on these assumptions?” This reintroduces the tension that makes the case pedagogically valuable.</w:t>
      </w:r>
    </w:p>
    <w:p w14:paraId="68AAEFD6" w14:textId="77777777" w:rsidR="003038B6" w:rsidRDefault="00000000">
      <w:pPr>
        <w:pStyle w:val="Heading2"/>
      </w:pPr>
      <w:bookmarkStart w:id="14" w:name="supplementary-framework-pestel-analysis"/>
      <w:bookmarkEnd w:id="13"/>
      <w:r>
        <w:t>Supplementary Framework: PESTEL Analysis</w:t>
      </w:r>
    </w:p>
    <w:p w14:paraId="00BFC57B" w14:textId="77777777" w:rsidR="003038B6" w:rsidRPr="00C45C5F" w:rsidRDefault="00000000">
      <w:pPr>
        <w:pStyle w:val="FirstParagraph"/>
        <w:rPr>
          <w:rFonts w:ascii="Times New Roman" w:hAnsi="Times New Roman" w:cs="Times New Roman"/>
          <w:sz w:val="22"/>
          <w:szCs w:val="22"/>
        </w:rPr>
      </w:pPr>
      <w:r w:rsidRPr="00C45C5F">
        <w:rPr>
          <w:rFonts w:ascii="Times New Roman" w:hAnsi="Times New Roman" w:cs="Times New Roman"/>
          <w:sz w:val="22"/>
          <w:szCs w:val="22"/>
        </w:rPr>
        <w:t>This framework can optionally be used to structure the industry context discussion early in the session.</w:t>
      </w:r>
    </w:p>
    <w:tbl>
      <w:tblPr>
        <w:tblStyle w:val="PlainTable2"/>
        <w:tblW w:w="4946" w:type="pct"/>
        <w:tblLayout w:type="fixed"/>
        <w:tblLook w:val="0020" w:firstRow="1" w:lastRow="0" w:firstColumn="0" w:lastColumn="0" w:noHBand="0" w:noVBand="0"/>
      </w:tblPr>
      <w:tblGrid>
        <w:gridCol w:w="1853"/>
        <w:gridCol w:w="7620"/>
      </w:tblGrid>
      <w:tr w:rsidR="003038B6" w:rsidRPr="00C45C5F" w14:paraId="670C3AA0" w14:textId="77777777" w:rsidTr="00C45C5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2" w:type="dxa"/>
            <w:shd w:val="clear" w:color="auto" w:fill="D9F2D0" w:themeFill="accent6" w:themeFillTint="33"/>
          </w:tcPr>
          <w:p w14:paraId="58079FE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Factor</w:t>
            </w:r>
          </w:p>
        </w:tc>
        <w:tc>
          <w:tcPr>
            <w:cnfStyle w:val="000001000000" w:firstRow="0" w:lastRow="0" w:firstColumn="0" w:lastColumn="0" w:oddVBand="0" w:evenVBand="1" w:oddHBand="0" w:evenHBand="0" w:firstRowFirstColumn="0" w:firstRowLastColumn="0" w:lastRowFirstColumn="0" w:lastRowLastColumn="0"/>
            <w:tcW w:w="6301" w:type="dxa"/>
            <w:shd w:val="clear" w:color="auto" w:fill="D9F2D0" w:themeFill="accent6" w:themeFillTint="33"/>
          </w:tcPr>
          <w:p w14:paraId="378E3ECE"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Impact on Sai Tex</w:t>
            </w:r>
          </w:p>
        </w:tc>
      </w:tr>
      <w:tr w:rsidR="003038B6" w:rsidRPr="00C45C5F" w14:paraId="7CDFB207" w14:textId="77777777" w:rsidTr="00C45C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2" w:type="dxa"/>
          </w:tcPr>
          <w:p w14:paraId="5B320B80"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Political</w:t>
            </w:r>
          </w:p>
        </w:tc>
        <w:tc>
          <w:tcPr>
            <w:cnfStyle w:val="000001000000" w:firstRow="0" w:lastRow="0" w:firstColumn="0" w:lastColumn="0" w:oddVBand="0" w:evenVBand="1" w:oddHBand="0" w:evenHBand="0" w:firstRowFirstColumn="0" w:firstRowLastColumn="0" w:lastRowFirstColumn="0" w:lastRowLastColumn="0"/>
            <w:tcW w:w="6301" w:type="dxa"/>
          </w:tcPr>
          <w:p w14:paraId="29F0259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MAHA-TUFS subsidy (up to 25%); export penalty notice (US$6,522 fine); government modernization incentives</w:t>
            </w:r>
          </w:p>
        </w:tc>
      </w:tr>
      <w:tr w:rsidR="003038B6" w:rsidRPr="00C45C5F" w14:paraId="24750EAC" w14:textId="77777777" w:rsidTr="00C45C5F">
        <w:tc>
          <w:tcPr>
            <w:cnfStyle w:val="000010000000" w:firstRow="0" w:lastRow="0" w:firstColumn="0" w:lastColumn="0" w:oddVBand="1" w:evenVBand="0" w:oddHBand="0" w:evenHBand="0" w:firstRowFirstColumn="0" w:firstRowLastColumn="0" w:lastRowFirstColumn="0" w:lastRowLastColumn="0"/>
            <w:tcW w:w="1532" w:type="dxa"/>
          </w:tcPr>
          <w:p w14:paraId="2CBDA703"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Economic</w:t>
            </w:r>
          </w:p>
        </w:tc>
        <w:tc>
          <w:tcPr>
            <w:cnfStyle w:val="000001000000" w:firstRow="0" w:lastRow="0" w:firstColumn="0" w:lastColumn="0" w:oddVBand="0" w:evenVBand="1" w:oddHBand="0" w:evenHBand="0" w:firstRowFirstColumn="0" w:firstRowLastColumn="0" w:lastRowFirstColumn="0" w:lastRowLastColumn="0"/>
            <w:tcW w:w="6301" w:type="dxa"/>
          </w:tcPr>
          <w:p w14:paraId="02BCEA4C"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US tariffs led to 40% export decline, domestic oversupply, and rate compression; 14% interest rates; yarn price inflation (20–47%)</w:t>
            </w:r>
          </w:p>
        </w:tc>
      </w:tr>
      <w:tr w:rsidR="003038B6" w:rsidRPr="00C45C5F" w14:paraId="7634D524" w14:textId="77777777" w:rsidTr="00C45C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2" w:type="dxa"/>
          </w:tcPr>
          <w:p w14:paraId="39C0A4A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Social</w:t>
            </w:r>
          </w:p>
        </w:tc>
        <w:tc>
          <w:tcPr>
            <w:cnfStyle w:val="000001000000" w:firstRow="0" w:lastRow="0" w:firstColumn="0" w:lastColumn="0" w:oddVBand="0" w:evenVBand="1" w:oddHBand="0" w:evenHBand="0" w:firstRowFirstColumn="0" w:firstRowLastColumn="0" w:lastRowFirstColumn="0" w:lastRowLastColumn="0"/>
            <w:tcW w:w="6301" w:type="dxa"/>
          </w:tcPr>
          <w:p w14:paraId="2E79155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Migrant labor dynamics (UP/Bihar workers as rational economic actors); community obligations; first-generation entrepreneur identity</w:t>
            </w:r>
          </w:p>
        </w:tc>
      </w:tr>
      <w:tr w:rsidR="003038B6" w:rsidRPr="00C45C5F" w14:paraId="0EB32C15" w14:textId="77777777" w:rsidTr="00C45C5F">
        <w:tc>
          <w:tcPr>
            <w:cnfStyle w:val="000010000000" w:firstRow="0" w:lastRow="0" w:firstColumn="0" w:lastColumn="0" w:oddVBand="1" w:evenVBand="0" w:oddHBand="0" w:evenHBand="0" w:firstRowFirstColumn="0" w:firstRowLastColumn="0" w:lastRowFirstColumn="0" w:lastRowLastColumn="0"/>
            <w:tcW w:w="1532" w:type="dxa"/>
          </w:tcPr>
          <w:p w14:paraId="63E1AFC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Technological</w:t>
            </w:r>
          </w:p>
        </w:tc>
        <w:tc>
          <w:tcPr>
            <w:cnfStyle w:val="000001000000" w:firstRow="0" w:lastRow="0" w:firstColumn="0" w:lastColumn="0" w:oddVBand="0" w:evenVBand="1" w:oddHBand="0" w:evenHBand="0" w:firstRowFirstColumn="0" w:firstRowLastColumn="0" w:lastRowFirstColumn="0" w:lastRowLastColumn="0"/>
            <w:tcW w:w="6301" w:type="dxa"/>
          </w:tcPr>
          <w:p w14:paraId="642230B3"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Rapier (300 RPM) vs. air-jet (1,200 RPM); 4x throughput gap; energy efficiency differential; infrastructure requirements (AC plant + compressors)</w:t>
            </w:r>
          </w:p>
        </w:tc>
      </w:tr>
      <w:tr w:rsidR="003038B6" w:rsidRPr="00C45C5F" w14:paraId="5EB7D519" w14:textId="77777777" w:rsidTr="00C45C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2" w:type="dxa"/>
          </w:tcPr>
          <w:p w14:paraId="0AAEC812"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Environmental</w:t>
            </w:r>
          </w:p>
        </w:tc>
        <w:tc>
          <w:tcPr>
            <w:cnfStyle w:val="000001000000" w:firstRow="0" w:lastRow="0" w:firstColumn="0" w:lastColumn="0" w:oddVBand="0" w:evenVBand="1" w:oddHBand="0" w:evenHBand="0" w:firstRowFirstColumn="0" w:firstRowLastColumn="0" w:lastRowFirstColumn="0" w:lastRowLastColumn="0"/>
            <w:tcW w:w="6301" w:type="dxa"/>
          </w:tcPr>
          <w:p w14:paraId="6E3E14FB"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Rooftop solar opportunity (US$54,348); electricity cost doubling (INR 3.50 to INR 6.50/unit); energy independence as competitive advantage</w:t>
            </w:r>
          </w:p>
        </w:tc>
      </w:tr>
      <w:tr w:rsidR="003038B6" w:rsidRPr="00C45C5F" w14:paraId="11D6032D" w14:textId="77777777" w:rsidTr="00C45C5F">
        <w:tc>
          <w:tcPr>
            <w:cnfStyle w:val="000010000000" w:firstRow="0" w:lastRow="0" w:firstColumn="0" w:lastColumn="0" w:oddVBand="1" w:evenVBand="0" w:oddHBand="0" w:evenHBand="0" w:firstRowFirstColumn="0" w:firstRowLastColumn="0" w:lastRowFirstColumn="0" w:lastRowLastColumn="0"/>
            <w:tcW w:w="1532" w:type="dxa"/>
          </w:tcPr>
          <w:p w14:paraId="4D76F9EC"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lastRenderedPageBreak/>
              <w:t>Legal</w:t>
            </w:r>
          </w:p>
        </w:tc>
        <w:tc>
          <w:tcPr>
            <w:cnfStyle w:val="000001000000" w:firstRow="0" w:lastRow="0" w:firstColumn="0" w:lastColumn="0" w:oddVBand="0" w:evenVBand="1" w:oddHBand="0" w:evenHBand="0" w:firstRowFirstColumn="0" w:firstRowLastColumn="0" w:lastRowFirstColumn="0" w:lastRowLastColumn="0"/>
            <w:tcW w:w="6301" w:type="dxa"/>
          </w:tcPr>
          <w:p w14:paraId="685EA46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Export obligation notice; cooperative park regulations; labor laws for migrant workers</w:t>
            </w:r>
          </w:p>
        </w:tc>
      </w:tr>
    </w:tbl>
    <w:p w14:paraId="5A447D35" w14:textId="77777777" w:rsidR="003038B6" w:rsidRDefault="000C0780">
      <w:r>
        <w:rPr>
          <w:noProof/>
        </w:rPr>
      </w:r>
      <w:r>
        <w:pict w14:anchorId="2851FF50">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844C5F" w14:textId="77777777" w:rsidR="003038B6" w:rsidRDefault="00000000">
      <w:pPr>
        <w:pStyle w:val="Heading2"/>
      </w:pPr>
      <w:bookmarkStart w:id="15" w:name="Xbbcf1d2e1f1fd6014165b65356897fd330839d1"/>
      <w:bookmarkEnd w:id="14"/>
      <w:r>
        <w:t>Instructor Guidance: Equity, Diversity, and Inclusion Considerations</w:t>
      </w:r>
    </w:p>
    <w:p w14:paraId="3E72A47D" w14:textId="77777777" w:rsidR="003038B6" w:rsidRPr="00C45C5F" w:rsidRDefault="00000000">
      <w:pPr>
        <w:pStyle w:val="FirstParagraph"/>
        <w:rPr>
          <w:rFonts w:ascii="Times New Roman" w:hAnsi="Times New Roman" w:cs="Times New Roman"/>
          <w:sz w:val="22"/>
          <w:szCs w:val="22"/>
        </w:rPr>
      </w:pPr>
      <w:r w:rsidRPr="00C45C5F">
        <w:rPr>
          <w:rFonts w:ascii="Times New Roman" w:hAnsi="Times New Roman" w:cs="Times New Roman"/>
          <w:sz w:val="22"/>
          <w:szCs w:val="22"/>
        </w:rPr>
        <w:t>This case involves migrant labour dynamics, economic vulnerability, and the social obligations of an employer in a close-knit industrial community. Instructors should be aware of the following considerations when facilitating discussion:</w:t>
      </w:r>
    </w:p>
    <w:p w14:paraId="4F1D304B" w14:textId="77777777" w:rsidR="003038B6" w:rsidRPr="00C45C5F" w:rsidRDefault="00000000">
      <w:pPr>
        <w:numPr>
          <w:ilvl w:val="0"/>
          <w:numId w:val="5"/>
        </w:numPr>
        <w:rPr>
          <w:rFonts w:ascii="Times New Roman" w:hAnsi="Times New Roman" w:cs="Times New Roman"/>
          <w:sz w:val="22"/>
          <w:szCs w:val="22"/>
        </w:rPr>
      </w:pPr>
      <w:r w:rsidRPr="00C45C5F">
        <w:rPr>
          <w:rFonts w:ascii="Times New Roman" w:hAnsi="Times New Roman" w:cs="Times New Roman"/>
          <w:sz w:val="22"/>
          <w:szCs w:val="22"/>
        </w:rPr>
        <w:t>The migrant workers from Uttar Pradesh and Bihar who staff Ichhalkaranji’s looms occupy a structurally vulnerable position in the labour market. Discussion of their mobility should frame them as rational economic agents exercising agency, not as interchangeable labour inputs. Avoid language that reduces workers to cost line items.</w:t>
      </w:r>
    </w:p>
    <w:p w14:paraId="2DD281C4" w14:textId="77777777" w:rsidR="003038B6" w:rsidRPr="00C45C5F" w:rsidRDefault="00000000">
      <w:pPr>
        <w:numPr>
          <w:ilvl w:val="0"/>
          <w:numId w:val="5"/>
        </w:numPr>
        <w:rPr>
          <w:rFonts w:ascii="Times New Roman" w:hAnsi="Times New Roman" w:cs="Times New Roman"/>
          <w:sz w:val="22"/>
          <w:szCs w:val="22"/>
        </w:rPr>
      </w:pPr>
      <w:r w:rsidRPr="00C45C5F">
        <w:rPr>
          <w:rFonts w:ascii="Times New Roman" w:hAnsi="Times New Roman" w:cs="Times New Roman"/>
          <w:sz w:val="22"/>
          <w:szCs w:val="22"/>
        </w:rPr>
        <w:t>Patil’s paternalistic relationship with his employees reflects a specific cultural and economic context in Indian MSMEs. Instructors should invite students to examine this dynamic critically without dismissing it as irrational or romanticising it as inherently virtuous.</w:t>
      </w:r>
    </w:p>
    <w:p w14:paraId="7FC911D8" w14:textId="77777777" w:rsidR="003038B6" w:rsidRPr="00C45C5F" w:rsidRDefault="00000000">
      <w:pPr>
        <w:numPr>
          <w:ilvl w:val="0"/>
          <w:numId w:val="5"/>
        </w:numPr>
        <w:rPr>
          <w:rFonts w:ascii="Times New Roman" w:hAnsi="Times New Roman" w:cs="Times New Roman"/>
          <w:sz w:val="22"/>
          <w:szCs w:val="22"/>
        </w:rPr>
      </w:pPr>
      <w:r w:rsidRPr="00C45C5F">
        <w:rPr>
          <w:rFonts w:ascii="Times New Roman" w:hAnsi="Times New Roman" w:cs="Times New Roman"/>
          <w:sz w:val="22"/>
          <w:szCs w:val="22"/>
        </w:rPr>
        <w:t>The case touches on intergenerational wealth, family obligation, and the stigma of business failure in a tight-knit community. Students from different cultural backgrounds may interpret these pressures differently. The instructor should create space for multiple perspectives on what constitutes a “responsible” decision.</w:t>
      </w:r>
    </w:p>
    <w:p w14:paraId="5FBE7CE9" w14:textId="77777777" w:rsidR="003038B6" w:rsidRDefault="000C0780">
      <w:r>
        <w:rPr>
          <w:noProof/>
        </w:rPr>
      </w:r>
      <w:r>
        <w:pict w14:anchorId="67343F03">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9CAD0A3" w14:textId="77777777" w:rsidR="003038B6" w:rsidRDefault="00000000">
      <w:pPr>
        <w:pStyle w:val="Heading2"/>
      </w:pPr>
      <w:bookmarkStart w:id="16" w:name="what-happened"/>
      <w:bookmarkEnd w:id="15"/>
      <w:r>
        <w:t>What Happened</w:t>
      </w:r>
    </w:p>
    <w:p w14:paraId="64B2B675" w14:textId="77777777" w:rsidR="003038B6" w:rsidRPr="00C45C5F" w:rsidRDefault="00000000">
      <w:pPr>
        <w:pStyle w:val="FirstParagraph"/>
        <w:rPr>
          <w:rFonts w:ascii="Times New Roman" w:hAnsi="Times New Roman" w:cs="Times New Roman"/>
          <w:sz w:val="22"/>
          <w:szCs w:val="22"/>
        </w:rPr>
      </w:pPr>
      <w:r w:rsidRPr="00C45C5F">
        <w:rPr>
          <w:rFonts w:ascii="Times New Roman" w:hAnsi="Times New Roman" w:cs="Times New Roman"/>
          <w:sz w:val="22"/>
          <w:szCs w:val="22"/>
        </w:rPr>
        <w:t>As of April 2026, Patil had not made a final decision. He was in active discussions with his bank regarding the MAHA-TUFS subsidy application for the full modernization (Option A). The bank had indicated willingness to finance the upgrade but required the family bungalow as additional collateral.</w:t>
      </w:r>
    </w:p>
    <w:p w14:paraId="370E9E04"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When asked whether to process the MAHA-TUFS application or simply renew the existing cash credit limit, Patil responded: "We are applying for MAHA-TUFS subsidy. Without subsidy there will be huge financial burden." The case was written during this decision window; the outcome remained uncertain at the time of publication.</w:t>
      </w:r>
    </w:p>
    <w:p w14:paraId="46D0CE6D" w14:textId="77777777" w:rsidR="003038B6" w:rsidRDefault="00000000">
      <w:pPr>
        <w:pStyle w:val="Heading2"/>
      </w:pPr>
      <w:bookmarkStart w:id="17" w:name="teaching-note-exhibits"/>
      <w:bookmarkEnd w:id="16"/>
      <w:r>
        <w:t>Teaching Note Exhibits</w:t>
      </w:r>
    </w:p>
    <w:p w14:paraId="538C16AB" w14:textId="77777777" w:rsidR="003038B6" w:rsidRPr="00C45C5F" w:rsidRDefault="00000000">
      <w:pPr>
        <w:pStyle w:val="FirstParagraph"/>
        <w:rPr>
          <w:rFonts w:ascii="Times New Roman" w:hAnsi="Times New Roman" w:cs="Times New Roman"/>
          <w:sz w:val="22"/>
          <w:szCs w:val="22"/>
        </w:rPr>
      </w:pPr>
      <w:r w:rsidRPr="00C45C5F">
        <w:rPr>
          <w:rFonts w:ascii="Times New Roman" w:hAnsi="Times New Roman" w:cs="Times New Roman"/>
          <w:b/>
          <w:bCs/>
          <w:sz w:val="22"/>
          <w:szCs w:val="22"/>
        </w:rPr>
        <w:t>Exhibit TN-1: Break-Even Analysis Summary</w:t>
      </w:r>
    </w:p>
    <w:p w14:paraId="404E8D9D"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Panel A: Current Model (2025)</w:t>
      </w:r>
    </w:p>
    <w:tbl>
      <w:tblPr>
        <w:tblStyle w:val="PlainTable2"/>
        <w:tblW w:w="4911" w:type="pct"/>
        <w:jc w:val="center"/>
        <w:tblLayout w:type="fixed"/>
        <w:tblLook w:val="0020" w:firstRow="1" w:lastRow="0" w:firstColumn="0" w:lastColumn="0" w:noHBand="0" w:noVBand="0"/>
      </w:tblPr>
      <w:tblGrid>
        <w:gridCol w:w="2309"/>
        <w:gridCol w:w="1881"/>
        <w:gridCol w:w="1539"/>
        <w:gridCol w:w="3677"/>
      </w:tblGrid>
      <w:tr w:rsidR="003038B6" w:rsidRPr="00C45C5F" w14:paraId="40BF33B5" w14:textId="77777777" w:rsidTr="00C45C5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09" w:type="dxa"/>
            <w:shd w:val="clear" w:color="auto" w:fill="D9F2D0" w:themeFill="accent6" w:themeFillTint="33"/>
          </w:tcPr>
          <w:p w14:paraId="209BA4AB"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Parameter</w:t>
            </w:r>
          </w:p>
        </w:tc>
        <w:tc>
          <w:tcPr>
            <w:cnfStyle w:val="000001000000" w:firstRow="0" w:lastRow="0" w:firstColumn="0" w:lastColumn="0" w:oddVBand="0" w:evenVBand="1" w:oddHBand="0" w:evenHBand="0" w:firstRowFirstColumn="0" w:firstRowLastColumn="0" w:lastRowFirstColumn="0" w:lastRowLastColumn="0"/>
            <w:tcW w:w="1555" w:type="dxa"/>
            <w:shd w:val="clear" w:color="auto" w:fill="D9F2D0" w:themeFill="accent6" w:themeFillTint="33"/>
          </w:tcPr>
          <w:p w14:paraId="0E08E56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Value (USD)</w:t>
            </w:r>
          </w:p>
        </w:tc>
        <w:tc>
          <w:tcPr>
            <w:cnfStyle w:val="000010000000" w:firstRow="0" w:lastRow="0" w:firstColumn="0" w:lastColumn="0" w:oddVBand="1" w:evenVBand="0" w:oddHBand="0" w:evenHBand="0" w:firstRowFirstColumn="0" w:firstRowLastColumn="0" w:lastRowFirstColumn="0" w:lastRowLastColumn="0"/>
            <w:tcW w:w="1272" w:type="dxa"/>
            <w:shd w:val="clear" w:color="auto" w:fill="D9F2D0" w:themeFill="accent6" w:themeFillTint="33"/>
          </w:tcPr>
          <w:p w14:paraId="06564E02"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Value (INR)</w:t>
            </w:r>
          </w:p>
        </w:tc>
        <w:tc>
          <w:tcPr>
            <w:cnfStyle w:val="000001000000" w:firstRow="0" w:lastRow="0" w:firstColumn="0" w:lastColumn="0" w:oddVBand="0" w:evenVBand="1" w:oddHBand="0" w:evenHBand="0" w:firstRowFirstColumn="0" w:firstRowLastColumn="0" w:lastRowFirstColumn="0" w:lastRowLastColumn="0"/>
            <w:tcW w:w="3040" w:type="dxa"/>
            <w:shd w:val="clear" w:color="auto" w:fill="D9F2D0" w:themeFill="accent6" w:themeFillTint="33"/>
          </w:tcPr>
          <w:p w14:paraId="37FB5A2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Source</w:t>
            </w:r>
          </w:p>
        </w:tc>
      </w:tr>
      <w:tr w:rsidR="003038B6" w:rsidRPr="00C45C5F" w14:paraId="112813F0"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09" w:type="dxa"/>
          </w:tcPr>
          <w:p w14:paraId="022F8BE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Monthly fixed costs</w:t>
            </w:r>
          </w:p>
        </w:tc>
        <w:tc>
          <w:tcPr>
            <w:cnfStyle w:val="000001000000" w:firstRow="0" w:lastRow="0" w:firstColumn="0" w:lastColumn="0" w:oddVBand="0" w:evenVBand="1" w:oddHBand="0" w:evenHBand="0" w:firstRowFirstColumn="0" w:firstRowLastColumn="0" w:lastRowFirstColumn="0" w:lastRowLastColumn="0"/>
            <w:tcW w:w="1555" w:type="dxa"/>
          </w:tcPr>
          <w:p w14:paraId="7517255C"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US$3,673</w:t>
            </w:r>
          </w:p>
        </w:tc>
        <w:tc>
          <w:tcPr>
            <w:cnfStyle w:val="000010000000" w:firstRow="0" w:lastRow="0" w:firstColumn="0" w:lastColumn="0" w:oddVBand="1" w:evenVBand="0" w:oddHBand="0" w:evenHBand="0" w:firstRowFirstColumn="0" w:firstRowLastColumn="0" w:lastRowFirstColumn="0" w:lastRowLastColumn="0"/>
            <w:tcW w:w="1272" w:type="dxa"/>
          </w:tcPr>
          <w:p w14:paraId="140131B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INR 337,900</w:t>
            </w:r>
          </w:p>
        </w:tc>
        <w:tc>
          <w:tcPr>
            <w:cnfStyle w:val="000001000000" w:firstRow="0" w:lastRow="0" w:firstColumn="0" w:lastColumn="0" w:oddVBand="0" w:evenVBand="1" w:oddHBand="0" w:evenHBand="0" w:firstRowFirstColumn="0" w:firstRowLastColumn="0" w:lastRowFirstColumn="0" w:lastRowLastColumn="0"/>
            <w:tcW w:w="3040" w:type="dxa"/>
          </w:tcPr>
          <w:p w14:paraId="0CDCE41E"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Exhibit 7 (interest + labor + overheads)</w:t>
            </w:r>
          </w:p>
        </w:tc>
      </w:tr>
      <w:tr w:rsidR="003038B6" w:rsidRPr="00C45C5F" w14:paraId="09A889D2"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1909" w:type="dxa"/>
          </w:tcPr>
          <w:p w14:paraId="4991AB23"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Variable cost per metre</w:t>
            </w:r>
          </w:p>
        </w:tc>
        <w:tc>
          <w:tcPr>
            <w:cnfStyle w:val="000001000000" w:firstRow="0" w:lastRow="0" w:firstColumn="0" w:lastColumn="0" w:oddVBand="0" w:evenVBand="1" w:oddHBand="0" w:evenHBand="0" w:firstRowFirstColumn="0" w:firstRowLastColumn="0" w:lastRowFirstColumn="0" w:lastRowLastColumn="0"/>
            <w:tcW w:w="1555" w:type="dxa"/>
          </w:tcPr>
          <w:p w14:paraId="745F4C7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US$0.017</w:t>
            </w:r>
          </w:p>
        </w:tc>
        <w:tc>
          <w:tcPr>
            <w:cnfStyle w:val="000010000000" w:firstRow="0" w:lastRow="0" w:firstColumn="0" w:lastColumn="0" w:oddVBand="1" w:evenVBand="0" w:oddHBand="0" w:evenHBand="0" w:firstRowFirstColumn="0" w:firstRowLastColumn="0" w:lastRowFirstColumn="0" w:lastRowLastColumn="0"/>
            <w:tcW w:w="1272" w:type="dxa"/>
          </w:tcPr>
          <w:p w14:paraId="0705102E"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INR 1.56</w:t>
            </w:r>
          </w:p>
        </w:tc>
        <w:tc>
          <w:tcPr>
            <w:cnfStyle w:val="000001000000" w:firstRow="0" w:lastRow="0" w:firstColumn="0" w:lastColumn="0" w:oddVBand="0" w:evenVBand="1" w:oddHBand="0" w:evenHBand="0" w:firstRowFirstColumn="0" w:firstRowLastColumn="0" w:lastRowFirstColumn="0" w:lastRowLastColumn="0"/>
            <w:tcW w:w="3040" w:type="dxa"/>
          </w:tcPr>
          <w:p w14:paraId="684A68EF"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Exhibit 7 (power + transport, scaled)</w:t>
            </w:r>
          </w:p>
        </w:tc>
      </w:tr>
      <w:tr w:rsidR="003038B6" w:rsidRPr="00C45C5F" w14:paraId="7F7DB679"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09" w:type="dxa"/>
          </w:tcPr>
          <w:p w14:paraId="21BBED78"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Average realised rate</w:t>
            </w:r>
          </w:p>
        </w:tc>
        <w:tc>
          <w:tcPr>
            <w:cnfStyle w:val="000001000000" w:firstRow="0" w:lastRow="0" w:firstColumn="0" w:lastColumn="0" w:oddVBand="0" w:evenVBand="1" w:oddHBand="0" w:evenHBand="0" w:firstRowFirstColumn="0" w:firstRowLastColumn="0" w:lastRowFirstColumn="0" w:lastRowLastColumn="0"/>
            <w:tcW w:w="1555" w:type="dxa"/>
          </w:tcPr>
          <w:p w14:paraId="4191E691"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US$0.088/m</w:t>
            </w:r>
          </w:p>
        </w:tc>
        <w:tc>
          <w:tcPr>
            <w:cnfStyle w:val="000010000000" w:firstRow="0" w:lastRow="0" w:firstColumn="0" w:lastColumn="0" w:oddVBand="1" w:evenVBand="0" w:oddHBand="0" w:evenHBand="0" w:firstRowFirstColumn="0" w:firstRowLastColumn="0" w:lastRowFirstColumn="0" w:lastRowLastColumn="0"/>
            <w:tcW w:w="1272" w:type="dxa"/>
          </w:tcPr>
          <w:p w14:paraId="15471794"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INR 8.07/m</w:t>
            </w:r>
          </w:p>
        </w:tc>
        <w:tc>
          <w:tcPr>
            <w:cnfStyle w:val="000001000000" w:firstRow="0" w:lastRow="0" w:firstColumn="0" w:lastColumn="0" w:oddVBand="0" w:evenVBand="1" w:oddHBand="0" w:evenHBand="0" w:firstRowFirstColumn="0" w:firstRowLastColumn="0" w:lastRowFirstColumn="0" w:lastRowLastColumn="0"/>
            <w:tcW w:w="3040" w:type="dxa"/>
          </w:tcPr>
          <w:p w14:paraId="63604681"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Exhibit 2 (2025 full-year average)</w:t>
            </w:r>
          </w:p>
        </w:tc>
      </w:tr>
      <w:tr w:rsidR="003038B6" w:rsidRPr="00C45C5F" w14:paraId="237C1F8A"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1909" w:type="dxa"/>
          </w:tcPr>
          <w:p w14:paraId="14CE4A94"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Contribution margin</w:t>
            </w:r>
          </w:p>
        </w:tc>
        <w:tc>
          <w:tcPr>
            <w:cnfStyle w:val="000001000000" w:firstRow="0" w:lastRow="0" w:firstColumn="0" w:lastColumn="0" w:oddVBand="0" w:evenVBand="1" w:oddHBand="0" w:evenHBand="0" w:firstRowFirstColumn="0" w:firstRowLastColumn="0" w:lastRowFirstColumn="0" w:lastRowLastColumn="0"/>
            <w:tcW w:w="1555" w:type="dxa"/>
          </w:tcPr>
          <w:p w14:paraId="490FC49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US$0.071/m</w:t>
            </w:r>
          </w:p>
        </w:tc>
        <w:tc>
          <w:tcPr>
            <w:cnfStyle w:val="000010000000" w:firstRow="0" w:lastRow="0" w:firstColumn="0" w:lastColumn="0" w:oddVBand="1" w:evenVBand="0" w:oddHBand="0" w:evenHBand="0" w:firstRowFirstColumn="0" w:firstRowLastColumn="0" w:lastRowFirstColumn="0" w:lastRowLastColumn="0"/>
            <w:tcW w:w="1272" w:type="dxa"/>
          </w:tcPr>
          <w:p w14:paraId="7CF5B0D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INR 6.51/m</w:t>
            </w:r>
          </w:p>
        </w:tc>
        <w:tc>
          <w:tcPr>
            <w:cnfStyle w:val="000001000000" w:firstRow="0" w:lastRow="0" w:firstColumn="0" w:lastColumn="0" w:oddVBand="0" w:evenVBand="1" w:oddHBand="0" w:evenHBand="0" w:firstRowFirstColumn="0" w:firstRowLastColumn="0" w:lastRowFirstColumn="0" w:lastRowLastColumn="0"/>
            <w:tcW w:w="3040" w:type="dxa"/>
          </w:tcPr>
          <w:p w14:paraId="788F109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Rate minus variable cost</w:t>
            </w:r>
          </w:p>
        </w:tc>
      </w:tr>
      <w:tr w:rsidR="003038B6" w:rsidRPr="00C45C5F" w14:paraId="15CE210E"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09" w:type="dxa"/>
          </w:tcPr>
          <w:p w14:paraId="6BD2AAE6"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Break-even volume</w:t>
            </w:r>
          </w:p>
        </w:tc>
        <w:tc>
          <w:tcPr>
            <w:cnfStyle w:val="000001000000" w:firstRow="0" w:lastRow="0" w:firstColumn="0" w:lastColumn="0" w:oddVBand="0" w:evenVBand="1" w:oddHBand="0" w:evenHBand="0" w:firstRowFirstColumn="0" w:firstRowLastColumn="0" w:lastRowFirstColumn="0" w:lastRowLastColumn="0"/>
            <w:tcW w:w="1555" w:type="dxa"/>
          </w:tcPr>
          <w:p w14:paraId="0BF33B7C"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 xml:space="preserve">51,900 </w:t>
            </w:r>
            <w:r w:rsidRPr="00C45C5F">
              <w:rPr>
                <w:rFonts w:ascii="Times New Roman" w:hAnsi="Times New Roman" w:cs="Times New Roman"/>
                <w:sz w:val="22"/>
                <w:szCs w:val="22"/>
              </w:rPr>
              <w:lastRenderedPageBreak/>
              <w:t>metres/month</w:t>
            </w:r>
          </w:p>
        </w:tc>
        <w:tc>
          <w:tcPr>
            <w:cnfStyle w:val="000010000000" w:firstRow="0" w:lastRow="0" w:firstColumn="0" w:lastColumn="0" w:oddVBand="1" w:evenVBand="0" w:oddHBand="0" w:evenHBand="0" w:firstRowFirstColumn="0" w:firstRowLastColumn="0" w:lastRowFirstColumn="0" w:lastRowLastColumn="0"/>
            <w:tcW w:w="1272" w:type="dxa"/>
          </w:tcPr>
          <w:p w14:paraId="0D3DB62D"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lastRenderedPageBreak/>
              <w:t>N/A</w:t>
            </w:r>
          </w:p>
        </w:tc>
        <w:tc>
          <w:tcPr>
            <w:cnfStyle w:val="000001000000" w:firstRow="0" w:lastRow="0" w:firstColumn="0" w:lastColumn="0" w:oddVBand="0" w:evenVBand="1" w:oddHBand="0" w:evenHBand="0" w:firstRowFirstColumn="0" w:firstRowLastColumn="0" w:lastRowFirstColumn="0" w:lastRowLastColumn="0"/>
            <w:tcW w:w="3040" w:type="dxa"/>
          </w:tcPr>
          <w:p w14:paraId="1382A3AF"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Fixed costs / contribution margin</w:t>
            </w:r>
          </w:p>
        </w:tc>
      </w:tr>
      <w:tr w:rsidR="003038B6" w:rsidRPr="00C45C5F" w14:paraId="6D886CC8"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1909" w:type="dxa"/>
          </w:tcPr>
          <w:p w14:paraId="1FD6DD92"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Peak observed production</w:t>
            </w:r>
          </w:p>
        </w:tc>
        <w:tc>
          <w:tcPr>
            <w:cnfStyle w:val="000001000000" w:firstRow="0" w:lastRow="0" w:firstColumn="0" w:lastColumn="0" w:oddVBand="0" w:evenVBand="1" w:oddHBand="0" w:evenHBand="0" w:firstRowFirstColumn="0" w:firstRowLastColumn="0" w:lastRowFirstColumn="0" w:lastRowLastColumn="0"/>
            <w:tcW w:w="1555" w:type="dxa"/>
          </w:tcPr>
          <w:p w14:paraId="10FEE87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45,000 metres/month</w:t>
            </w:r>
          </w:p>
        </w:tc>
        <w:tc>
          <w:tcPr>
            <w:cnfStyle w:val="000010000000" w:firstRow="0" w:lastRow="0" w:firstColumn="0" w:lastColumn="0" w:oddVBand="1" w:evenVBand="0" w:oddHBand="0" w:evenHBand="0" w:firstRowFirstColumn="0" w:firstRowLastColumn="0" w:lastRowFirstColumn="0" w:lastRowLastColumn="0"/>
            <w:tcW w:w="1272" w:type="dxa"/>
          </w:tcPr>
          <w:p w14:paraId="1E288FBF"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N/A</w:t>
            </w:r>
          </w:p>
        </w:tc>
        <w:tc>
          <w:tcPr>
            <w:cnfStyle w:val="000001000000" w:firstRow="0" w:lastRow="0" w:firstColumn="0" w:lastColumn="0" w:oddVBand="0" w:evenVBand="1" w:oddHBand="0" w:evenHBand="0" w:firstRowFirstColumn="0" w:firstRowLastColumn="0" w:lastRowFirstColumn="0" w:lastRowLastColumn="0"/>
            <w:tcW w:w="3040" w:type="dxa"/>
          </w:tcPr>
          <w:p w14:paraId="151F518E"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Exhibit 2 (Jan and Aug 2025)</w:t>
            </w:r>
          </w:p>
        </w:tc>
      </w:tr>
      <w:tr w:rsidR="003038B6" w:rsidRPr="00C45C5F" w14:paraId="1066D321"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09" w:type="dxa"/>
          </w:tcPr>
          <w:p w14:paraId="25C2175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Gap</w:t>
            </w:r>
          </w:p>
        </w:tc>
        <w:tc>
          <w:tcPr>
            <w:cnfStyle w:val="000001000000" w:firstRow="0" w:lastRow="0" w:firstColumn="0" w:lastColumn="0" w:oddVBand="0" w:evenVBand="1" w:oddHBand="0" w:evenHBand="0" w:firstRowFirstColumn="0" w:firstRowLastColumn="0" w:lastRowFirstColumn="0" w:lastRowLastColumn="0"/>
            <w:tcW w:w="1555" w:type="dxa"/>
          </w:tcPr>
          <w:p w14:paraId="220620A0"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6,900 metres/month</w:t>
            </w:r>
          </w:p>
        </w:tc>
        <w:tc>
          <w:tcPr>
            <w:cnfStyle w:val="000010000000" w:firstRow="0" w:lastRow="0" w:firstColumn="0" w:lastColumn="0" w:oddVBand="1" w:evenVBand="0" w:oddHBand="0" w:evenHBand="0" w:firstRowFirstColumn="0" w:firstRowLastColumn="0" w:lastRowFirstColumn="0" w:lastRowLastColumn="0"/>
            <w:tcW w:w="1272" w:type="dxa"/>
          </w:tcPr>
          <w:p w14:paraId="601E608E"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N/A</w:t>
            </w:r>
          </w:p>
        </w:tc>
        <w:tc>
          <w:tcPr>
            <w:cnfStyle w:val="000001000000" w:firstRow="0" w:lastRow="0" w:firstColumn="0" w:lastColumn="0" w:oddVBand="0" w:evenVBand="1" w:oddHBand="0" w:evenHBand="0" w:firstRowFirstColumn="0" w:firstRowLastColumn="0" w:lastRowFirstColumn="0" w:lastRowLastColumn="0"/>
            <w:tcW w:w="3040" w:type="dxa"/>
          </w:tcPr>
          <w:p w14:paraId="086B1DE7"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Break-even exceeds maximum capacity</w:t>
            </w:r>
          </w:p>
        </w:tc>
      </w:tr>
    </w:tbl>
    <w:p w14:paraId="53BE52E8"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Panel B: Option A Projections (from Exhibit 3)</w:t>
      </w:r>
    </w:p>
    <w:tbl>
      <w:tblPr>
        <w:tblStyle w:val="PlainTable2"/>
        <w:tblW w:w="4891" w:type="pct"/>
        <w:jc w:val="center"/>
        <w:tblLayout w:type="fixed"/>
        <w:tblLook w:val="0020" w:firstRow="1" w:lastRow="0" w:firstColumn="0" w:lastColumn="0" w:noHBand="0" w:noVBand="0"/>
      </w:tblPr>
      <w:tblGrid>
        <w:gridCol w:w="2914"/>
        <w:gridCol w:w="2602"/>
        <w:gridCol w:w="3851"/>
      </w:tblGrid>
      <w:tr w:rsidR="003038B6" w14:paraId="3BDCF696" w14:textId="77777777" w:rsidTr="00C45C5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10" w:type="dxa"/>
            <w:shd w:val="clear" w:color="auto" w:fill="D9F2D0" w:themeFill="accent6" w:themeFillTint="33"/>
          </w:tcPr>
          <w:p w14:paraId="477F77C8"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Parameter</w:t>
            </w:r>
          </w:p>
        </w:tc>
        <w:tc>
          <w:tcPr>
            <w:cnfStyle w:val="000001000000" w:firstRow="0" w:lastRow="0" w:firstColumn="0" w:lastColumn="0" w:oddVBand="0" w:evenVBand="1" w:oddHBand="0" w:evenHBand="0" w:firstRowFirstColumn="0" w:firstRowLastColumn="0" w:lastRowFirstColumn="0" w:lastRowLastColumn="0"/>
            <w:tcW w:w="2152" w:type="dxa"/>
            <w:shd w:val="clear" w:color="auto" w:fill="D9F2D0" w:themeFill="accent6" w:themeFillTint="33"/>
          </w:tcPr>
          <w:p w14:paraId="002303E9"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Current</w:t>
            </w:r>
          </w:p>
        </w:tc>
        <w:tc>
          <w:tcPr>
            <w:cnfStyle w:val="000010000000" w:firstRow="0" w:lastRow="0" w:firstColumn="0" w:lastColumn="0" w:oddVBand="1" w:evenVBand="0" w:oddHBand="0" w:evenHBand="0" w:firstRowFirstColumn="0" w:firstRowLastColumn="0" w:lastRowFirstColumn="0" w:lastRowLastColumn="0"/>
            <w:tcW w:w="3185" w:type="dxa"/>
            <w:shd w:val="clear" w:color="auto" w:fill="D9F2D0" w:themeFill="accent6" w:themeFillTint="33"/>
          </w:tcPr>
          <w:p w14:paraId="5A59A35C"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Option A (Year 1)</w:t>
            </w:r>
          </w:p>
        </w:tc>
      </w:tr>
      <w:tr w:rsidR="003038B6" w14:paraId="500D9CCF"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10" w:type="dxa"/>
          </w:tcPr>
          <w:p w14:paraId="26ECAB84"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Capacity</w:t>
            </w:r>
          </w:p>
        </w:tc>
        <w:tc>
          <w:tcPr>
            <w:cnfStyle w:val="000001000000" w:firstRow="0" w:lastRow="0" w:firstColumn="0" w:lastColumn="0" w:oddVBand="0" w:evenVBand="1" w:oddHBand="0" w:evenHBand="0" w:firstRowFirstColumn="0" w:firstRowLastColumn="0" w:lastRowFirstColumn="0" w:lastRowLastColumn="0"/>
            <w:tcW w:w="2152" w:type="dxa"/>
          </w:tcPr>
          <w:p w14:paraId="607CA451"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1,000 m/day</w:t>
            </w:r>
          </w:p>
        </w:tc>
        <w:tc>
          <w:tcPr>
            <w:cnfStyle w:val="000010000000" w:firstRow="0" w:lastRow="0" w:firstColumn="0" w:lastColumn="0" w:oddVBand="1" w:evenVBand="0" w:oddHBand="0" w:evenHBand="0" w:firstRowFirstColumn="0" w:firstRowLastColumn="0" w:lastRowFirstColumn="0" w:lastRowLastColumn="0"/>
            <w:tcW w:w="3185" w:type="dxa"/>
          </w:tcPr>
          <w:p w14:paraId="28B8AE90"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4,800 m/day</w:t>
            </w:r>
          </w:p>
        </w:tc>
      </w:tr>
      <w:tr w:rsidR="003038B6" w14:paraId="2F509161"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2410" w:type="dxa"/>
          </w:tcPr>
          <w:p w14:paraId="35458A84"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Monthly output (26 days)</w:t>
            </w:r>
          </w:p>
        </w:tc>
        <w:tc>
          <w:tcPr>
            <w:cnfStyle w:val="000001000000" w:firstRow="0" w:lastRow="0" w:firstColumn="0" w:lastColumn="0" w:oddVBand="0" w:evenVBand="1" w:oddHBand="0" w:evenHBand="0" w:firstRowFirstColumn="0" w:firstRowLastColumn="0" w:lastRowFirstColumn="0" w:lastRowLastColumn="0"/>
            <w:tcW w:w="2152" w:type="dxa"/>
          </w:tcPr>
          <w:p w14:paraId="47DFB136"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~37,800 m</w:t>
            </w:r>
          </w:p>
        </w:tc>
        <w:tc>
          <w:tcPr>
            <w:cnfStyle w:val="000010000000" w:firstRow="0" w:lastRow="0" w:firstColumn="0" w:lastColumn="0" w:oddVBand="1" w:evenVBand="0" w:oddHBand="0" w:evenHBand="0" w:firstRowFirstColumn="0" w:firstRowLastColumn="0" w:lastRowFirstColumn="0" w:lastRowLastColumn="0"/>
            <w:tcW w:w="3185" w:type="dxa"/>
          </w:tcPr>
          <w:p w14:paraId="6B9E347D"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~124,800 m</w:t>
            </w:r>
          </w:p>
        </w:tc>
      </w:tr>
      <w:tr w:rsidR="003038B6" w14:paraId="436B40F8"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10" w:type="dxa"/>
          </w:tcPr>
          <w:p w14:paraId="40E5F45B"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Revenue model</w:t>
            </w:r>
          </w:p>
        </w:tc>
        <w:tc>
          <w:tcPr>
            <w:cnfStyle w:val="000001000000" w:firstRow="0" w:lastRow="0" w:firstColumn="0" w:lastColumn="0" w:oddVBand="0" w:evenVBand="1" w:oddHBand="0" w:evenHBand="0" w:firstRowFirstColumn="0" w:firstRowLastColumn="0" w:lastRowFirstColumn="0" w:lastRowLastColumn="0"/>
            <w:tcW w:w="2152" w:type="dxa"/>
          </w:tcPr>
          <w:p w14:paraId="50DC10CA"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Job-work (US$0.087/m)</w:t>
            </w:r>
          </w:p>
        </w:tc>
        <w:tc>
          <w:tcPr>
            <w:cnfStyle w:val="000010000000" w:firstRow="0" w:lastRow="0" w:firstColumn="0" w:lastColumn="0" w:oddVBand="1" w:evenVBand="0" w:oddHBand="0" w:evenHBand="0" w:firstRowFirstColumn="0" w:firstRowLastColumn="0" w:lastRowFirstColumn="0" w:lastRowLastColumn="0"/>
            <w:tcW w:w="3185" w:type="dxa"/>
          </w:tcPr>
          <w:p w14:paraId="257CE509"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Sale-purchase (US$0.163–0.196/m)</w:t>
            </w:r>
          </w:p>
        </w:tc>
      </w:tr>
      <w:tr w:rsidR="003038B6" w14:paraId="6D1DBD7F"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2410" w:type="dxa"/>
          </w:tcPr>
          <w:p w14:paraId="04A83480"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Estimated monthly revenue</w:t>
            </w:r>
          </w:p>
        </w:tc>
        <w:tc>
          <w:tcPr>
            <w:cnfStyle w:val="000001000000" w:firstRow="0" w:lastRow="0" w:firstColumn="0" w:lastColumn="0" w:oddVBand="0" w:evenVBand="1" w:oddHBand="0" w:evenHBand="0" w:firstRowFirstColumn="0" w:firstRowLastColumn="0" w:lastRowFirstColumn="0" w:lastRowLastColumn="0"/>
            <w:tcW w:w="2152" w:type="dxa"/>
          </w:tcPr>
          <w:p w14:paraId="43F2D423"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US$5,283</w:t>
            </w:r>
          </w:p>
        </w:tc>
        <w:tc>
          <w:tcPr>
            <w:cnfStyle w:val="000010000000" w:firstRow="0" w:lastRow="0" w:firstColumn="0" w:lastColumn="0" w:oddVBand="1" w:evenVBand="0" w:oddHBand="0" w:evenHBand="0" w:firstRowFirstColumn="0" w:firstRowLastColumn="0" w:lastRowFirstColumn="0" w:lastRowLastColumn="0"/>
            <w:tcW w:w="3185" w:type="dxa"/>
          </w:tcPr>
          <w:p w14:paraId="55C1210C"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US$10,870–16,304</w:t>
            </w:r>
          </w:p>
        </w:tc>
      </w:tr>
      <w:tr w:rsidR="003038B6" w14:paraId="6EDDC4BD"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10" w:type="dxa"/>
          </w:tcPr>
          <w:p w14:paraId="28FB9FCF"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Total debt</w:t>
            </w:r>
          </w:p>
        </w:tc>
        <w:tc>
          <w:tcPr>
            <w:cnfStyle w:val="000001000000" w:firstRow="0" w:lastRow="0" w:firstColumn="0" w:lastColumn="0" w:oddVBand="0" w:evenVBand="1" w:oddHBand="0" w:evenHBand="0" w:firstRowFirstColumn="0" w:firstRowLastColumn="0" w:lastRowFirstColumn="0" w:lastRowLastColumn="0"/>
            <w:tcW w:w="2152" w:type="dxa"/>
          </w:tcPr>
          <w:p w14:paraId="582E869D"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US$130,435</w:t>
            </w:r>
          </w:p>
        </w:tc>
        <w:tc>
          <w:tcPr>
            <w:cnfStyle w:val="000010000000" w:firstRow="0" w:lastRow="0" w:firstColumn="0" w:lastColumn="0" w:oddVBand="1" w:evenVBand="0" w:oddHBand="0" w:evenHBand="0" w:firstRowFirstColumn="0" w:firstRowLastColumn="0" w:lastRowFirstColumn="0" w:lastRowLastColumn="0"/>
            <w:tcW w:w="3185" w:type="dxa"/>
          </w:tcPr>
          <w:p w14:paraId="0BEF1AA4"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US$603,261</w:t>
            </w:r>
          </w:p>
        </w:tc>
      </w:tr>
      <w:tr w:rsidR="003038B6" w14:paraId="5B9042B1"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2410" w:type="dxa"/>
          </w:tcPr>
          <w:p w14:paraId="4CD18B95"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Monthly debt service</w:t>
            </w:r>
          </w:p>
        </w:tc>
        <w:tc>
          <w:tcPr>
            <w:cnfStyle w:val="000001000000" w:firstRow="0" w:lastRow="0" w:firstColumn="0" w:lastColumn="0" w:oddVBand="0" w:evenVBand="1" w:oddHBand="0" w:evenHBand="0" w:firstRowFirstColumn="0" w:firstRowLastColumn="0" w:lastRowFirstColumn="0" w:lastRowLastColumn="0"/>
            <w:tcW w:w="2152" w:type="dxa"/>
          </w:tcPr>
          <w:p w14:paraId="1DE4B5D0"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US$1,304</w:t>
            </w:r>
          </w:p>
        </w:tc>
        <w:tc>
          <w:tcPr>
            <w:cnfStyle w:val="000010000000" w:firstRow="0" w:lastRow="0" w:firstColumn="0" w:lastColumn="0" w:oddVBand="1" w:evenVBand="0" w:oddHBand="0" w:evenHBand="0" w:firstRowFirstColumn="0" w:firstRowLastColumn="0" w:lastRowFirstColumn="0" w:lastRowLastColumn="0"/>
            <w:tcW w:w="3185" w:type="dxa"/>
          </w:tcPr>
          <w:p w14:paraId="6A1FA881"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~US$3,804 (est. at 14%)</w:t>
            </w:r>
          </w:p>
        </w:tc>
      </w:tr>
    </w:tbl>
    <w:p w14:paraId="485B545F"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Source: Constructed from case Exhibits 1–4 and 7.</w:t>
      </w:r>
    </w:p>
    <w:p w14:paraId="72C092B5"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sz w:val="22"/>
          <w:szCs w:val="22"/>
        </w:rPr>
        <w:t>Exhibit TN-2: SEW Dimensions Applied to Sai Tex</w:t>
      </w:r>
    </w:p>
    <w:tbl>
      <w:tblPr>
        <w:tblStyle w:val="PlainTable2"/>
        <w:tblW w:w="4954" w:type="pct"/>
        <w:jc w:val="center"/>
        <w:tblLayout w:type="fixed"/>
        <w:tblLook w:val="0020" w:firstRow="1" w:lastRow="0" w:firstColumn="0" w:lastColumn="0" w:noHBand="0" w:noVBand="0"/>
      </w:tblPr>
      <w:tblGrid>
        <w:gridCol w:w="2224"/>
        <w:gridCol w:w="4072"/>
        <w:gridCol w:w="3192"/>
      </w:tblGrid>
      <w:tr w:rsidR="003038B6" w14:paraId="11D6B88A" w14:textId="77777777" w:rsidTr="00C45C5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4" w:type="dxa"/>
            <w:shd w:val="clear" w:color="auto" w:fill="D9F2D0" w:themeFill="accent6" w:themeFillTint="33"/>
          </w:tcPr>
          <w:p w14:paraId="60C90D8F"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SEW Dimension (Berrone et al., 2012)</w:t>
            </w:r>
          </w:p>
        </w:tc>
        <w:tc>
          <w:tcPr>
            <w:cnfStyle w:val="000001000000" w:firstRow="0" w:lastRow="0" w:firstColumn="0" w:lastColumn="0" w:oddVBand="0" w:evenVBand="1" w:oddHBand="0" w:evenHBand="0" w:firstRowFirstColumn="0" w:firstRowLastColumn="0" w:lastRowFirstColumn="0" w:lastRowLastColumn="0"/>
            <w:tcW w:w="4072" w:type="dxa"/>
            <w:shd w:val="clear" w:color="auto" w:fill="D9F2D0" w:themeFill="accent6" w:themeFillTint="33"/>
          </w:tcPr>
          <w:p w14:paraId="1C19FEB1"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Manifestation in Sai Tex</w:t>
            </w:r>
          </w:p>
        </w:tc>
        <w:tc>
          <w:tcPr>
            <w:cnfStyle w:val="000010000000" w:firstRow="0" w:lastRow="0" w:firstColumn="0" w:lastColumn="0" w:oddVBand="1" w:evenVBand="0" w:oddHBand="0" w:evenHBand="0" w:firstRowFirstColumn="0" w:firstRowLastColumn="0" w:lastRowFirstColumn="0" w:lastRowLastColumn="0"/>
            <w:tcW w:w="3192" w:type="dxa"/>
            <w:shd w:val="clear" w:color="auto" w:fill="D9F2D0" w:themeFill="accent6" w:themeFillTint="33"/>
          </w:tcPr>
          <w:p w14:paraId="2C4C9AAD"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Impact on Decision</w:t>
            </w:r>
          </w:p>
        </w:tc>
      </w:tr>
      <w:tr w:rsidR="003038B6" w14:paraId="75B11784"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4" w:type="dxa"/>
          </w:tcPr>
          <w:p w14:paraId="757249DD"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Family control and influence</w:t>
            </w:r>
          </w:p>
        </w:tc>
        <w:tc>
          <w:tcPr>
            <w:cnfStyle w:val="000001000000" w:firstRow="0" w:lastRow="0" w:firstColumn="0" w:lastColumn="0" w:oddVBand="0" w:evenVBand="1" w:oddHBand="0" w:evenHBand="0" w:firstRowFirstColumn="0" w:firstRowLastColumn="0" w:lastRowFirstColumn="0" w:lastRowLastColumn="0"/>
            <w:tcW w:w="4072" w:type="dxa"/>
          </w:tcPr>
          <w:p w14:paraId="3C88AB48"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Patil is sole proprietor; all decisions are his</w:t>
            </w:r>
          </w:p>
        </w:tc>
        <w:tc>
          <w:tcPr>
            <w:cnfStyle w:val="000010000000" w:firstRow="0" w:lastRow="0" w:firstColumn="0" w:lastColumn="0" w:oddVBand="1" w:evenVBand="0" w:oddHBand="0" w:evenHBand="0" w:firstRowFirstColumn="0" w:firstRowLastColumn="0" w:lastRowFirstColumn="0" w:lastRowLastColumn="0"/>
            <w:tcW w:w="3192" w:type="dxa"/>
          </w:tcPr>
          <w:p w14:paraId="621FB6B5"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Option A requires pledging family bungalow, transfers control to bank</w:t>
            </w:r>
          </w:p>
        </w:tc>
      </w:tr>
      <w:tr w:rsidR="003038B6" w14:paraId="5D0C4C50"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2224" w:type="dxa"/>
          </w:tcPr>
          <w:p w14:paraId="25E01406"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Identification with the firm</w:t>
            </w:r>
          </w:p>
        </w:tc>
        <w:tc>
          <w:tcPr>
            <w:cnfStyle w:val="000001000000" w:firstRow="0" w:lastRow="0" w:firstColumn="0" w:lastColumn="0" w:oddVBand="0" w:evenVBand="1" w:oddHBand="0" w:evenHBand="0" w:firstRowFirstColumn="0" w:firstRowLastColumn="0" w:lastRowFirstColumn="0" w:lastRowLastColumn="0"/>
            <w:tcW w:w="4072" w:type="dxa"/>
          </w:tcPr>
          <w:p w14:paraId="206CE167"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"The mill was not merely a business but an extension of Patil's identity"</w:t>
            </w:r>
          </w:p>
        </w:tc>
        <w:tc>
          <w:tcPr>
            <w:cnfStyle w:val="000010000000" w:firstRow="0" w:lastRow="0" w:firstColumn="0" w:lastColumn="0" w:oddVBand="1" w:evenVBand="0" w:oddHBand="0" w:evenHBand="0" w:firstRowFirstColumn="0" w:firstRowLastColumn="0" w:lastRowFirstColumn="0" w:lastRowLastColumn="0"/>
            <w:tcW w:w="3192" w:type="dxa"/>
          </w:tcPr>
          <w:p w14:paraId="0C10013E"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Makes Option C (exit) psychologically unacceptable</w:t>
            </w:r>
          </w:p>
        </w:tc>
      </w:tr>
      <w:tr w:rsidR="003038B6" w14:paraId="5CE2B560"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4" w:type="dxa"/>
          </w:tcPr>
          <w:p w14:paraId="3BD87A05"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Binding social ties</w:t>
            </w:r>
          </w:p>
        </w:tc>
        <w:tc>
          <w:tcPr>
            <w:cnfStyle w:val="000001000000" w:firstRow="0" w:lastRow="0" w:firstColumn="0" w:lastColumn="0" w:oddVBand="0" w:evenVBand="1" w:oddHBand="0" w:evenHBand="0" w:firstRowFirstColumn="0" w:firstRowLastColumn="0" w:lastRowFirstColumn="0" w:lastRowLastColumn="0"/>
            <w:tcW w:w="4072" w:type="dxa"/>
          </w:tcPr>
          <w:p w14:paraId="7ACDED4D"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12 permanent employees; Shivmani Mishra since founding; school fee support</w:t>
            </w:r>
          </w:p>
        </w:tc>
        <w:tc>
          <w:tcPr>
            <w:cnfStyle w:val="000010000000" w:firstRow="0" w:lastRow="0" w:firstColumn="0" w:lastColumn="0" w:oddVBand="1" w:evenVBand="0" w:oddHBand="0" w:evenHBand="0" w:firstRowFirstColumn="0" w:firstRowLastColumn="0" w:lastRowFirstColumn="0" w:lastRowLastColumn="0"/>
            <w:tcW w:w="3192" w:type="dxa"/>
          </w:tcPr>
          <w:p w14:paraId="49159ADC"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Creates obligation that pure financial analysis ignores</w:t>
            </w:r>
          </w:p>
        </w:tc>
      </w:tr>
      <w:tr w:rsidR="003038B6" w14:paraId="5B781D6F" w14:textId="77777777" w:rsidTr="00C45C5F">
        <w:trPr>
          <w:jc w:val="center"/>
        </w:trPr>
        <w:tc>
          <w:tcPr>
            <w:cnfStyle w:val="000010000000" w:firstRow="0" w:lastRow="0" w:firstColumn="0" w:lastColumn="0" w:oddVBand="1" w:evenVBand="0" w:oddHBand="0" w:evenHBand="0" w:firstRowFirstColumn="0" w:firstRowLastColumn="0" w:lastRowFirstColumn="0" w:lastRowLastColumn="0"/>
            <w:tcW w:w="2224" w:type="dxa"/>
          </w:tcPr>
          <w:p w14:paraId="0054FA59"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Emotional attachment</w:t>
            </w:r>
          </w:p>
        </w:tc>
        <w:tc>
          <w:tcPr>
            <w:cnfStyle w:val="000001000000" w:firstRow="0" w:lastRow="0" w:firstColumn="0" w:lastColumn="0" w:oddVBand="0" w:evenVBand="1" w:oddHBand="0" w:evenHBand="0" w:firstRowFirstColumn="0" w:firstRowLastColumn="0" w:lastRowFirstColumn="0" w:lastRowLastColumn="0"/>
            <w:tcW w:w="4072" w:type="dxa"/>
          </w:tcPr>
          <w:p w14:paraId="5714CCF9"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Father's legacy: "If you have the means to give someone a livelihood, you have the duty to do it"</w:t>
            </w:r>
          </w:p>
        </w:tc>
        <w:tc>
          <w:tcPr>
            <w:cnfStyle w:val="000010000000" w:firstRow="0" w:lastRow="0" w:firstColumn="0" w:lastColumn="0" w:oddVBand="1" w:evenVBand="0" w:oddHBand="0" w:evenHBand="0" w:firstRowFirstColumn="0" w:firstRowLastColumn="0" w:lastRowFirstColumn="0" w:lastRowLastColumn="0"/>
            <w:tcW w:w="3192" w:type="dxa"/>
          </w:tcPr>
          <w:p w14:paraId="54083F7A"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Weighs against exit even when financially rational</w:t>
            </w:r>
          </w:p>
        </w:tc>
      </w:tr>
      <w:tr w:rsidR="003038B6" w14:paraId="0C9497BB" w14:textId="77777777" w:rsidTr="00C45C5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4" w:type="dxa"/>
          </w:tcPr>
          <w:p w14:paraId="2A0E1DAB"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Renewal through dynastic succession</w:t>
            </w:r>
          </w:p>
        </w:tc>
        <w:tc>
          <w:tcPr>
            <w:cnfStyle w:val="000001000000" w:firstRow="0" w:lastRow="0" w:firstColumn="0" w:lastColumn="0" w:oddVBand="0" w:evenVBand="1" w:oddHBand="0" w:evenHBand="0" w:firstRowFirstColumn="0" w:firstRowLastColumn="0" w:lastRowFirstColumn="0" w:lastRowLastColumn="0"/>
            <w:tcW w:w="4072" w:type="dxa"/>
          </w:tcPr>
          <w:p w14:paraId="7A94E3A3"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First-generation firm; bungalow = intergenerational family wealth</w:t>
            </w:r>
          </w:p>
        </w:tc>
        <w:tc>
          <w:tcPr>
            <w:cnfStyle w:val="000010000000" w:firstRow="0" w:lastRow="0" w:firstColumn="0" w:lastColumn="0" w:oddVBand="1" w:evenVBand="0" w:oddHBand="0" w:evenHBand="0" w:firstRowFirstColumn="0" w:firstRowLastColumn="0" w:lastRowFirstColumn="0" w:lastRowLastColumn="0"/>
            <w:tcW w:w="3192" w:type="dxa"/>
          </w:tcPr>
          <w:p w14:paraId="3CEDDF19" w14:textId="77777777" w:rsidR="003038B6" w:rsidRPr="00806C75" w:rsidRDefault="00000000">
            <w:pPr>
              <w:pStyle w:val="Compact"/>
              <w:jc w:val="center"/>
              <w:rPr>
                <w:rFonts w:ascii="Times New Roman" w:hAnsi="Times New Roman" w:cs="Times New Roman"/>
                <w:sz w:val="22"/>
                <w:szCs w:val="22"/>
              </w:rPr>
            </w:pPr>
            <w:r w:rsidRPr="00806C75">
              <w:rPr>
                <w:rFonts w:ascii="Times New Roman" w:hAnsi="Times New Roman" w:cs="Times New Roman"/>
                <w:sz w:val="22"/>
                <w:szCs w:val="22"/>
              </w:rPr>
              <w:t>Option A risks the family's primary non-business asset</w:t>
            </w:r>
          </w:p>
        </w:tc>
      </w:tr>
    </w:tbl>
    <w:p w14:paraId="3B8D85A6"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Source: SEW framework from Gómez-Mejía et al. (2007) and Berrone et al. (2012), applied to case data.</w:t>
      </w:r>
    </w:p>
    <w:p w14:paraId="3F4D0B4B"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sz w:val="22"/>
          <w:szCs w:val="22"/>
        </w:rPr>
        <w:t>Exhibit TN-3: Theory of Constraints, Binding Constraint Identification</w:t>
      </w:r>
    </w:p>
    <w:tbl>
      <w:tblPr>
        <w:tblStyle w:val="PlainTable2"/>
        <w:tblW w:w="4958" w:type="pct"/>
        <w:tblLayout w:type="fixed"/>
        <w:tblLook w:val="0020" w:firstRow="1" w:lastRow="0" w:firstColumn="0" w:lastColumn="0" w:noHBand="0" w:noVBand="0"/>
      </w:tblPr>
      <w:tblGrid>
        <w:gridCol w:w="1818"/>
        <w:gridCol w:w="1949"/>
        <w:gridCol w:w="3766"/>
        <w:gridCol w:w="1963"/>
      </w:tblGrid>
      <w:tr w:rsidR="003038B6" w14:paraId="14D0F813" w14:textId="77777777" w:rsidTr="00C45C5F">
        <w:trPr>
          <w:cnfStyle w:val="100000000000" w:firstRow="1" w:lastRow="0" w:firstColumn="0" w:lastColumn="0" w:oddVBand="0" w:evenVBand="0" w:oddHBand="0" w:evenHBand="0" w:firstRowFirstColumn="0" w:firstRowLastColumn="0" w:lastRowFirstColumn="0" w:lastRowLastColumn="0"/>
          <w:trHeight w:val="656"/>
        </w:trPr>
        <w:tc>
          <w:tcPr>
            <w:cnfStyle w:val="000010000000" w:firstRow="0" w:lastRow="0" w:firstColumn="0" w:lastColumn="0" w:oddVBand="1" w:evenVBand="0" w:oddHBand="0" w:evenHBand="0" w:firstRowFirstColumn="0" w:firstRowLastColumn="0" w:lastRowFirstColumn="0" w:lastRowLastColumn="0"/>
            <w:tcW w:w="1818" w:type="dxa"/>
            <w:shd w:val="clear" w:color="auto" w:fill="D9F2D0" w:themeFill="accent6" w:themeFillTint="33"/>
          </w:tcPr>
          <w:p w14:paraId="09B71BDC"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Candidate</w:t>
            </w:r>
          </w:p>
        </w:tc>
        <w:tc>
          <w:tcPr>
            <w:cnfStyle w:val="000001000000" w:firstRow="0" w:lastRow="0" w:firstColumn="0" w:lastColumn="0" w:oddVBand="0" w:evenVBand="1" w:oddHBand="0" w:evenHBand="0" w:firstRowFirstColumn="0" w:firstRowLastColumn="0" w:lastRowFirstColumn="0" w:lastRowLastColumn="0"/>
            <w:tcW w:w="1949" w:type="dxa"/>
            <w:shd w:val="clear" w:color="auto" w:fill="D9F2D0" w:themeFill="accent6" w:themeFillTint="33"/>
          </w:tcPr>
          <w:p w14:paraId="50B471B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Evidence For</w:t>
            </w:r>
          </w:p>
        </w:tc>
        <w:tc>
          <w:tcPr>
            <w:cnfStyle w:val="000010000000" w:firstRow="0" w:lastRow="0" w:firstColumn="0" w:lastColumn="0" w:oddVBand="1" w:evenVBand="0" w:oddHBand="0" w:evenHBand="0" w:firstRowFirstColumn="0" w:firstRowLastColumn="0" w:lastRowFirstColumn="0" w:lastRowLastColumn="0"/>
            <w:tcW w:w="3766" w:type="dxa"/>
            <w:shd w:val="clear" w:color="auto" w:fill="D9F2D0" w:themeFill="accent6" w:themeFillTint="33"/>
          </w:tcPr>
          <w:p w14:paraId="357AFBBB"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Evidence Against</w:t>
            </w:r>
          </w:p>
        </w:tc>
        <w:tc>
          <w:tcPr>
            <w:cnfStyle w:val="000001000000" w:firstRow="0" w:lastRow="0" w:firstColumn="0" w:lastColumn="0" w:oddVBand="0" w:evenVBand="1" w:oddHBand="0" w:evenHBand="0" w:firstRowFirstColumn="0" w:firstRowLastColumn="0" w:lastRowFirstColumn="0" w:lastRowLastColumn="0"/>
            <w:tcW w:w="1963" w:type="dxa"/>
            <w:shd w:val="clear" w:color="auto" w:fill="D9F2D0" w:themeFill="accent6" w:themeFillTint="33"/>
          </w:tcPr>
          <w:p w14:paraId="4A17F9A4"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Verdict</w:t>
            </w:r>
          </w:p>
        </w:tc>
      </w:tr>
      <w:tr w:rsidR="003038B6" w14:paraId="542FAE06" w14:textId="77777777" w:rsidTr="00C45C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8" w:type="dxa"/>
          </w:tcPr>
          <w:p w14:paraId="2FC9AF2B"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Technology</w:t>
            </w:r>
          </w:p>
        </w:tc>
        <w:tc>
          <w:tcPr>
            <w:cnfStyle w:val="000001000000" w:firstRow="0" w:lastRow="0" w:firstColumn="0" w:lastColumn="0" w:oddVBand="0" w:evenVBand="1" w:oddHBand="0" w:evenHBand="0" w:firstRowFirstColumn="0" w:firstRowLastColumn="0" w:lastRowFirstColumn="0" w:lastRowLastColumn="0"/>
            <w:tcW w:w="1949" w:type="dxa"/>
          </w:tcPr>
          <w:p w14:paraId="6751DC4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300 vs 1,200 RPM; 4x throughput gap</w:t>
            </w:r>
          </w:p>
        </w:tc>
        <w:tc>
          <w:tcPr>
            <w:cnfStyle w:val="000010000000" w:firstRow="0" w:lastRow="0" w:firstColumn="0" w:lastColumn="0" w:oddVBand="1" w:evenVBand="0" w:oddHBand="0" w:evenHBand="0" w:firstRowFirstColumn="0" w:firstRowLastColumn="0" w:lastRowFirstColumn="0" w:lastRowLastColumn="0"/>
            <w:tcW w:w="3766" w:type="dxa"/>
          </w:tcPr>
          <w:p w14:paraId="4A7CCA4A"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Current machines at only 50% capacity</w:t>
            </w:r>
          </w:p>
        </w:tc>
        <w:tc>
          <w:tcPr>
            <w:cnfStyle w:val="000001000000" w:firstRow="0" w:lastRow="0" w:firstColumn="0" w:lastColumn="0" w:oddVBand="0" w:evenVBand="1" w:oddHBand="0" w:evenHBand="0" w:firstRowFirstColumn="0" w:firstRowLastColumn="0" w:lastRowFirstColumn="0" w:lastRowLastColumn="0"/>
            <w:tcW w:w="1963" w:type="dxa"/>
          </w:tcPr>
          <w:p w14:paraId="306956B2"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Root cause, drives all downstream constraints</w:t>
            </w:r>
          </w:p>
        </w:tc>
      </w:tr>
      <w:tr w:rsidR="003038B6" w14:paraId="5ABB3492" w14:textId="77777777" w:rsidTr="00C45C5F">
        <w:tc>
          <w:tcPr>
            <w:cnfStyle w:val="000010000000" w:firstRow="0" w:lastRow="0" w:firstColumn="0" w:lastColumn="0" w:oddVBand="1" w:evenVBand="0" w:oddHBand="0" w:evenHBand="0" w:firstRowFirstColumn="0" w:firstRowLastColumn="0" w:lastRowFirstColumn="0" w:lastRowLastColumn="0"/>
            <w:tcW w:w="1818" w:type="dxa"/>
          </w:tcPr>
          <w:p w14:paraId="44340155"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Labor</w:t>
            </w:r>
          </w:p>
        </w:tc>
        <w:tc>
          <w:tcPr>
            <w:cnfStyle w:val="000001000000" w:firstRow="0" w:lastRow="0" w:firstColumn="0" w:lastColumn="0" w:oddVBand="0" w:evenVBand="1" w:oddHBand="0" w:evenHBand="0" w:firstRowFirstColumn="0" w:firstRowLastColumn="0" w:lastRowFirstColumn="0" w:lastRowLastColumn="0"/>
            <w:tcW w:w="1949" w:type="dxa"/>
          </w:tcPr>
          <w:p w14:paraId="1A23FBF6"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 xml:space="preserve">50% utilisation; workers leaving for ~10% higher </w:t>
            </w:r>
            <w:r w:rsidRPr="00C45C5F">
              <w:rPr>
                <w:rFonts w:ascii="Times New Roman" w:hAnsi="Times New Roman" w:cs="Times New Roman"/>
                <w:sz w:val="22"/>
                <w:szCs w:val="22"/>
              </w:rPr>
              <w:lastRenderedPageBreak/>
              <w:t>wages at upgraded mills</w:t>
            </w:r>
          </w:p>
        </w:tc>
        <w:tc>
          <w:tcPr>
            <w:cnfStyle w:val="000010000000" w:firstRow="0" w:lastRow="0" w:firstColumn="0" w:lastColumn="0" w:oddVBand="1" w:evenVBand="0" w:oddHBand="0" w:evenHBand="0" w:firstRowFirstColumn="0" w:firstRowLastColumn="0" w:lastRowFirstColumn="0" w:lastRowLastColumn="0"/>
            <w:tcW w:w="3766" w:type="dxa"/>
          </w:tcPr>
          <w:p w14:paraId="7185DD4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lastRenderedPageBreak/>
              <w:t>Labor attrition is a consequence of the wage gap created by lower margins on older machines</w:t>
            </w:r>
          </w:p>
        </w:tc>
        <w:tc>
          <w:tcPr>
            <w:cnfStyle w:val="000001000000" w:firstRow="0" w:lastRow="0" w:firstColumn="0" w:lastColumn="0" w:oddVBand="0" w:evenVBand="1" w:oddHBand="0" w:evenHBand="0" w:firstRowFirstColumn="0" w:firstRowLastColumn="0" w:lastRowFirstColumn="0" w:lastRowLastColumn="0"/>
            <w:tcW w:w="1963" w:type="dxa"/>
          </w:tcPr>
          <w:p w14:paraId="37874051"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Derived constraint (symptom of technology gap)</w:t>
            </w:r>
          </w:p>
        </w:tc>
      </w:tr>
      <w:tr w:rsidR="003038B6" w14:paraId="77934BCF" w14:textId="77777777" w:rsidTr="00C45C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8" w:type="dxa"/>
          </w:tcPr>
          <w:p w14:paraId="5ADCBA60"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Market access</w:t>
            </w:r>
          </w:p>
        </w:tc>
        <w:tc>
          <w:tcPr>
            <w:cnfStyle w:val="000001000000" w:firstRow="0" w:lastRow="0" w:firstColumn="0" w:lastColumn="0" w:oddVBand="0" w:evenVBand="1" w:oddHBand="0" w:evenHBand="0" w:firstRowFirstColumn="0" w:firstRowLastColumn="0" w:lastRowFirstColumn="0" w:lastRowLastColumn="0"/>
            <w:tcW w:w="1949" w:type="dxa"/>
          </w:tcPr>
          <w:p w14:paraId="60E6DFF2"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Job-work rate below break-even; no pricing power</w:t>
            </w:r>
          </w:p>
        </w:tc>
        <w:tc>
          <w:tcPr>
            <w:cnfStyle w:val="000010000000" w:firstRow="0" w:lastRow="0" w:firstColumn="0" w:lastColumn="0" w:oddVBand="1" w:evenVBand="0" w:oddHBand="0" w:evenHBand="0" w:firstRowFirstColumn="0" w:firstRowLastColumn="0" w:lastRowFirstColumn="0" w:lastRowLastColumn="0"/>
            <w:tcW w:w="3766" w:type="dxa"/>
          </w:tcPr>
          <w:p w14:paraId="142A366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Sale-purchase model changes market access entirely</w:t>
            </w:r>
          </w:p>
        </w:tc>
        <w:tc>
          <w:tcPr>
            <w:cnfStyle w:val="000001000000" w:firstRow="0" w:lastRow="0" w:firstColumn="0" w:lastColumn="0" w:oddVBand="0" w:evenVBand="1" w:oddHBand="0" w:evenHBand="0" w:firstRowFirstColumn="0" w:firstRowLastColumn="0" w:lastRowFirstColumn="0" w:lastRowLastColumn="0"/>
            <w:tcW w:w="1963" w:type="dxa"/>
          </w:tcPr>
          <w:p w14:paraId="32761869"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Model-dependent constraint</w:t>
            </w:r>
          </w:p>
        </w:tc>
      </w:tr>
      <w:tr w:rsidR="003038B6" w14:paraId="0AFEF34C" w14:textId="77777777" w:rsidTr="00C45C5F">
        <w:tc>
          <w:tcPr>
            <w:cnfStyle w:val="000010000000" w:firstRow="0" w:lastRow="0" w:firstColumn="0" w:lastColumn="0" w:oddVBand="1" w:evenVBand="0" w:oddHBand="0" w:evenHBand="0" w:firstRowFirstColumn="0" w:firstRowLastColumn="0" w:lastRowFirstColumn="0" w:lastRowLastColumn="0"/>
            <w:tcW w:w="1818" w:type="dxa"/>
          </w:tcPr>
          <w:p w14:paraId="68D031F8"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Capital</w:t>
            </w:r>
          </w:p>
        </w:tc>
        <w:tc>
          <w:tcPr>
            <w:cnfStyle w:val="000001000000" w:firstRow="0" w:lastRow="0" w:firstColumn="0" w:lastColumn="0" w:oddVBand="0" w:evenVBand="1" w:oddHBand="0" w:evenHBand="0" w:firstRowFirstColumn="0" w:firstRowLastColumn="0" w:lastRowFirstColumn="0" w:lastRowLastColumn="0"/>
            <w:tcW w:w="1949" w:type="dxa"/>
          </w:tcPr>
          <w:p w14:paraId="1619D4FB"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US$130,435 debt; 14% rate; bungalow as collateral</w:t>
            </w:r>
          </w:p>
        </w:tc>
        <w:tc>
          <w:tcPr>
            <w:cnfStyle w:val="000010000000" w:firstRow="0" w:lastRow="0" w:firstColumn="0" w:lastColumn="0" w:oddVBand="1" w:evenVBand="0" w:oddHBand="0" w:evenHBand="0" w:firstRowFirstColumn="0" w:firstRowLastColumn="0" w:lastRowFirstColumn="0" w:lastRowLastColumn="0"/>
            <w:tcW w:w="3766" w:type="dxa"/>
          </w:tcPr>
          <w:p w14:paraId="780C6B82"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MAHA-TUFS subsidy could offset 25%; capital available if collateral pledged</w:t>
            </w:r>
          </w:p>
        </w:tc>
        <w:tc>
          <w:tcPr>
            <w:cnfStyle w:val="000001000000" w:firstRow="0" w:lastRow="0" w:firstColumn="0" w:lastColumn="0" w:oddVBand="0" w:evenVBand="1" w:oddHBand="0" w:evenHBand="0" w:firstRowFirstColumn="0" w:firstRowLastColumn="0" w:lastRowFirstColumn="0" w:lastRowLastColumn="0"/>
            <w:tcW w:w="1963" w:type="dxa"/>
          </w:tcPr>
          <w:p w14:paraId="0F8561A0" w14:textId="77777777" w:rsidR="003038B6" w:rsidRPr="00C45C5F" w:rsidRDefault="00000000">
            <w:pPr>
              <w:pStyle w:val="Compact"/>
              <w:jc w:val="center"/>
              <w:rPr>
                <w:rFonts w:ascii="Times New Roman" w:hAnsi="Times New Roman" w:cs="Times New Roman"/>
                <w:sz w:val="22"/>
                <w:szCs w:val="22"/>
              </w:rPr>
            </w:pPr>
            <w:r w:rsidRPr="00C45C5F">
              <w:rPr>
                <w:rFonts w:ascii="Times New Roman" w:hAnsi="Times New Roman" w:cs="Times New Roman"/>
                <w:sz w:val="22"/>
                <w:szCs w:val="22"/>
              </w:rPr>
              <w:t>Binding but relaxable</w:t>
            </w:r>
          </w:p>
        </w:tc>
      </w:tr>
    </w:tbl>
    <w:p w14:paraId="71C8589D"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Technology is the root constraint. Labor, market, and capital constraints are all downstream effects. Breaking the cycle requires addressing the root (technology upgrade), not the symptoms.</w:t>
      </w:r>
    </w:p>
    <w:p w14:paraId="2DFC6D1B"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sz w:val="22"/>
          <w:szCs w:val="22"/>
        </w:rPr>
        <w:t>Source: Goldratt's Theory of Constraints (2004) applied to case data.</w:t>
      </w:r>
    </w:p>
    <w:p w14:paraId="47F27834" w14:textId="77777777" w:rsidR="003038B6" w:rsidRPr="00C45C5F" w:rsidRDefault="00000000">
      <w:pPr>
        <w:pStyle w:val="BodyText"/>
        <w:rPr>
          <w:rFonts w:ascii="Times New Roman" w:hAnsi="Times New Roman" w:cs="Times New Roman"/>
          <w:sz w:val="22"/>
          <w:szCs w:val="22"/>
        </w:rPr>
      </w:pPr>
      <w:r w:rsidRPr="00C45C5F">
        <w:rPr>
          <w:rFonts w:ascii="Times New Roman" w:hAnsi="Times New Roman" w:cs="Times New Roman"/>
          <w:b/>
          <w:bCs/>
          <w:sz w:val="22"/>
          <w:szCs w:val="22"/>
        </w:rPr>
        <w:t>Exhibit TN-4: THE RED QUEEN VICIOUS CYCLE — SAI TEX'S SELF-REINFORCING DECLINE</w:t>
      </w:r>
    </w:p>
    <w:p w14:paraId="3BFA4319" w14:textId="00E80405" w:rsidR="003038B6" w:rsidRDefault="00C45C5F">
      <w:pPr>
        <w:pStyle w:val="BodyText"/>
      </w:pPr>
      <w:r w:rsidRPr="00C45C5F">
        <w:drawing>
          <wp:inline distT="0" distB="0" distL="0" distR="0" wp14:anchorId="5FEEDE99" wp14:editId="3D1B5219">
            <wp:extent cx="6698026" cy="4813300"/>
            <wp:effectExtent l="0" t="0" r="0" b="0"/>
            <wp:docPr id="14112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2305" name=""/>
                    <pic:cNvPicPr/>
                  </pic:nvPicPr>
                  <pic:blipFill>
                    <a:blip r:embed="rId9"/>
                    <a:stretch>
                      <a:fillRect/>
                    </a:stretch>
                  </pic:blipFill>
                  <pic:spPr>
                    <a:xfrm>
                      <a:off x="0" y="0"/>
                      <a:ext cx="6706447" cy="4819351"/>
                    </a:xfrm>
                    <a:prstGeom prst="rect">
                      <a:avLst/>
                    </a:prstGeom>
                  </pic:spPr>
                </pic:pic>
              </a:graphicData>
            </a:graphic>
          </wp:inline>
        </w:drawing>
      </w:r>
      <w:bookmarkEnd w:id="0"/>
      <w:bookmarkEnd w:id="17"/>
    </w:p>
    <w:sectPr w:rsidR="003038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F864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4A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60788072">
    <w:abstractNumId w:val="0"/>
  </w:num>
  <w:num w:numId="2" w16cid:durableId="812063150">
    <w:abstractNumId w:val="1"/>
  </w:num>
  <w:num w:numId="3" w16cid:durableId="1554462294">
    <w:abstractNumId w:val="1"/>
  </w:num>
  <w:num w:numId="4" w16cid:durableId="554968968">
    <w:abstractNumId w:val="1"/>
  </w:num>
  <w:num w:numId="5" w16cid:durableId="957876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38B6"/>
    <w:rsid w:val="000C0780"/>
    <w:rsid w:val="003038B6"/>
    <w:rsid w:val="00806C75"/>
    <w:rsid w:val="00AC5C10"/>
    <w:rsid w:val="00B622DE"/>
    <w:rsid w:val="00C4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99299FC"/>
  <w15:docId w15:val="{6AFE0D04-D00F-8940-87C4-34F74A25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622DE"/>
    <w:rPr>
      <w:color w:val="605E5C"/>
      <w:shd w:val="clear" w:color="auto" w:fill="E1DFDD"/>
    </w:rPr>
  </w:style>
  <w:style w:type="table" w:styleId="PlainTable2">
    <w:name w:val="Plain Table 2"/>
    <w:basedOn w:val="TableNormal"/>
    <w:rsid w:val="00B622D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ublishcases@ivey.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veypublishing.ca" TargetMode="External"/><Relationship Id="rId11" Type="http://schemas.openxmlformats.org/officeDocument/2006/relationships/theme" Target="theme/theme1.xml"/><Relationship Id="rId5" Type="http://schemas.openxmlformats.org/officeDocument/2006/relationships/hyperlink" Target="mailto:cases@ivey.c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4737</Words>
  <Characters>27003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Patil, Prithviraj</cp:lastModifiedBy>
  <cp:revision>2</cp:revision>
  <dcterms:created xsi:type="dcterms:W3CDTF">2026-04-23T05:49:00Z</dcterms:created>
  <dcterms:modified xsi:type="dcterms:W3CDTF">2026-04-23T06:50:00Z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2026-04-23T06:50:00Z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e53576a3-32a8-4019-97b6-d9d5045045f7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