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11/01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case from publicly available data.</w:t>
      </w:r>
    </w:p>
    <w:p w:rsidR="00000000" w:rsidDel="00000000" w:rsidP="00000000" w:rsidRDefault="00000000" w:rsidRPr="00000000" w14:paraId="0000000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Focus more on dilemma and not on solution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12/20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Need to have consent before publishing case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consent not available then write based off “secondary sources”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Secondary sources is when data and information is already available for public reference or public domain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sure the case is relevant (&lt; 5 yrs); publishers decide what is relevant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sure your case answers the 5 W’s (why, what, where, when, whom)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idea is not to convince everyone about your solution/ teach everyone your soln, it is about learning how is a decision arrived at to generate multiple solutions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Are the solutions sustainable?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Case Idea suggested by Dr. Kakoli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She’ll help with it if need be</w:t>
      </w:r>
      <w:r w:rsidDel="00000000" w:rsidR="00000000" w:rsidRPr="00000000">
        <w:rPr>
          <w:rtl w:val="0"/>
        </w:rPr>
        <w:t xml:space="preserve">) - Tesla board versus Elon Musk;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will be focusing on Boards effectiveness? How do we ensure that governance is managed better than this way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Different publishers have different guidelines; necessary to follow the publisher guidelines before submitting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case is reviewed, it is scrutinized. Refer to the class .ppt for example. 4 pages of feedback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Only Case Study is for students, Teaching Note is for self (whoever teaches the case). Through classroom discussion teacher should guide students in the direction of the teaching note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Research Methods and Data Collection in Case Writing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Two ways to collect data:</w:t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Quantitative</w:t>
      </w:r>
    </w:p>
    <w:p w:rsidR="00000000" w:rsidDel="00000000" w:rsidP="00000000" w:rsidRDefault="00000000" w:rsidRPr="00000000" w14:paraId="00000015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Qualitative</w:t>
      </w:r>
    </w:p>
    <w:p w:rsidR="00000000" w:rsidDel="00000000" w:rsidP="00000000" w:rsidRDefault="00000000" w:rsidRPr="00000000" w14:paraId="00000016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544563" cy="212131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4563" cy="2121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Very important to cite sources and relevant study material</w:t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How to cite? Refer to the specific publishers(Ivey, Emerald, Sage etc) guideline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01/09:</w:t>
        <w:br w:type="textWrapping"/>
        <w:t xml:space="preserve">- Collect as much information as possible for your case. Later you can choose what to use for your case and what not.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Refer to the “Teaching Note Template” that was presented in class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Case Study is Dilemma focused; Teaching Note is Solutions Oriented and how to execute those solutions.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