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Roboto" w:cs="Roboto" w:eastAsia="Roboto" w:hAnsi="Roboto"/>
          <w:b w:val="1"/>
          <w:bCs w:val="1"/>
          <w:sz w:val="46"/>
          <w:szCs w:val="46"/>
        </w:rPr>
      </w:pPr>
      <w:bookmarkStart w:colFirst="0" w:colLast="0" w:name="_qpnf5ltpxvjt" w:id="0"/>
      <w:bookmarkEnd w:id="0"/>
      <w:r w:rsidDel="00000000" w:rsidR="00000000" w:rsidRPr="00000000">
        <w:rPr>
          <w:rFonts w:ascii="Roboto" w:cs="Roboto" w:eastAsia="Roboto" w:hAnsi="Roboto"/>
          <w:b w:val="1"/>
          <w:bCs w:val="1"/>
          <w:sz w:val="46"/>
          <w:szCs w:val="46"/>
          <w:rtl w:val="0"/>
        </w:rPr>
        <w:t xml:space="preserve">TESLA BOARD GOVERNANCE CASE TEMPLATE</w:t>
      </w:r>
    </w:p>
    <w:p w:rsidR="00000000" w:rsidDel="00000000" w:rsidP="00000000" w:rsidRDefault="00000000" w:rsidRPr="00000000" w14:paraId="0000000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Version 2.0 — UPDATED</w:t>
      </w:r>
    </w:p>
    <w:p w:rsidR="00000000" w:rsidDel="00000000" w:rsidP="00000000" w:rsidRDefault="00000000" w:rsidRPr="00000000" w14:paraId="00000003">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Course: Case Writing | Faculty: Dr. Kakoli Sen</w:t>
        <w:br w:type="textWrapping"/>
        <w:t xml:space="preserve">Status: Ready for Your Review | Date: January 5, 2026</w:t>
        <w:br w:type="textWrapping"/>
        <w:t xml:space="preserve">Last Updated: January 5,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Roboto" w:cs="Roboto" w:eastAsia="Roboto" w:hAnsi="Roboto"/>
          <w:b w:val="1"/>
          <w:bCs w:val="1"/>
          <w:sz w:val="34"/>
          <w:szCs w:val="34"/>
        </w:rPr>
      </w:pPr>
      <w:bookmarkStart w:colFirst="0" w:colLast="0" w:name="_hit6evfjs8qz" w:id="1"/>
      <w:bookmarkEnd w:id="1"/>
      <w:r w:rsidDel="00000000" w:rsidR="00000000" w:rsidRPr="00000000">
        <w:rPr>
          <w:rFonts w:ascii="Roboto" w:cs="Roboto" w:eastAsia="Roboto" w:hAnsi="Roboto"/>
          <w:b w:val="1"/>
          <w:bCs w:val="1"/>
          <w:sz w:val="34"/>
          <w:szCs w:val="34"/>
          <w:rtl w:val="0"/>
        </w:rPr>
        <w:t xml:space="preserve">EXECUTIVE SUMMARY (For Your Quick Reference)</w:t>
      </w:r>
    </w:p>
    <w:p w:rsidR="00000000" w:rsidDel="00000000" w:rsidP="00000000" w:rsidRDefault="00000000" w:rsidRPr="00000000" w14:paraId="0000000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document outlines the Tesla Board Governance Case, following your feedback on three key areas:</w:t>
      </w:r>
    </w:p>
    <w:p w:rsidR="00000000" w:rsidDel="00000000" w:rsidP="00000000" w:rsidRDefault="00000000" w:rsidRPr="00000000" w14:paraId="00000007">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Arial Unicode MS" w:cs="Arial Unicode MS" w:eastAsia="Arial Unicode MS" w:hAnsi="Arial Unicode MS"/>
          <w:sz w:val="24"/>
          <w:szCs w:val="24"/>
          <w:rtl w:val="0"/>
        </w:rPr>
        <w:t xml:space="preserve">✅ Accuracy Update: The December 2025 Delaware Supreme Court decision did NOT reinstate Musk's original compensation. Instead, it rejected rescission as a remedy and awarded $1 in nominal damages—a narrow ruling on remedy, not on the underlying governance findings.</w:t>
      </w:r>
    </w:p>
    <w:p w:rsidR="00000000" w:rsidDel="00000000" w:rsidP="00000000" w:rsidRDefault="00000000" w:rsidRPr="00000000" w14:paraId="00000008">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Arial Unicode MS" w:cs="Arial Unicode MS" w:eastAsia="Arial Unicode MS" w:hAnsi="Arial Unicode MS"/>
          <w:sz w:val="24"/>
          <w:szCs w:val="24"/>
          <w:rtl w:val="0"/>
        </w:rPr>
        <w:t xml:space="preserve">✅ Scope Confirmation: The case spans 2018–2024 (the governance journey), with a postscript noting December 2025 developments. We analyze the board's role when Tesla appears to be a "one-man-controlled" company.</w:t>
      </w:r>
    </w:p>
    <w:p w:rsidR="00000000" w:rsidDel="00000000" w:rsidP="00000000" w:rsidRDefault="00000000" w:rsidRPr="00000000" w14:paraId="00000009">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Arial Unicode MS" w:cs="Arial Unicode MS" w:eastAsia="Arial Unicode MS" w:hAnsi="Arial Unicode MS"/>
          <w:sz w:val="24"/>
          <w:szCs w:val="24"/>
          <w:rtl w:val="0"/>
        </w:rPr>
        <w:t xml:space="preserve">✅ Tone Clarification: The case will be evidence-led and balanced—presenting both Musk's value creation AND the governance concerns, without bias.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Roboto" w:cs="Roboto" w:eastAsia="Roboto" w:hAnsi="Roboto"/>
          <w:b w:val="1"/>
          <w:bCs w:val="1"/>
          <w:sz w:val="34"/>
          <w:szCs w:val="34"/>
        </w:rPr>
      </w:pPr>
      <w:bookmarkStart w:colFirst="0" w:colLast="0" w:name="_8zqgsh3ij9w4" w:id="2"/>
      <w:bookmarkEnd w:id="2"/>
      <w:r w:rsidDel="00000000" w:rsidR="00000000" w:rsidRPr="00000000">
        <w:rPr>
          <w:rFonts w:ascii="Roboto" w:cs="Roboto" w:eastAsia="Roboto" w:hAnsi="Roboto"/>
          <w:b w:val="1"/>
          <w:bCs w:val="1"/>
          <w:sz w:val="34"/>
          <w:szCs w:val="34"/>
          <w:rtl w:val="0"/>
        </w:rPr>
        <w:t xml:space="preserve">SECTION 1: PROPOSED TITLE / WORKING TITLE</w:t>
      </w:r>
    </w:p>
    <w:p w:rsidR="00000000" w:rsidDel="00000000" w:rsidP="00000000" w:rsidRDefault="00000000" w:rsidRPr="00000000" w14:paraId="0000000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Primary Title:</w:t>
        <w:br w:type="textWrapping"/>
        <w:t xml:space="preserve">"Tesla's Board at a Crossroads: Governance in a One-Man Controlled Company (2018–2024)"</w:t>
      </w:r>
    </w:p>
    <w:p w:rsidR="00000000" w:rsidDel="00000000" w:rsidP="00000000" w:rsidRDefault="00000000" w:rsidRPr="00000000" w14:paraId="0000000D">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Alternative Titles:</w:t>
      </w:r>
    </w:p>
    <w:p w:rsidR="00000000" w:rsidDel="00000000" w:rsidP="00000000" w:rsidRDefault="00000000" w:rsidRPr="00000000" w14:paraId="0000000E">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"Can You Govern a Superstar CEO? Tesla's Governance Challenge"</w:t>
      </w:r>
    </w:p>
    <w:p w:rsidR="00000000" w:rsidDel="00000000" w:rsidP="00000000" w:rsidRDefault="00000000" w:rsidRPr="00000000" w14:paraId="0000000F">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"Board Independence Under Pressure: The Tesla Case"</w:t>
      </w:r>
    </w:p>
    <w:p w:rsidR="00000000" w:rsidDel="00000000" w:rsidP="00000000" w:rsidRDefault="00000000" w:rsidRPr="00000000" w14:paraId="00000010">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"From Approval to Litigation: Tesla's Compensation Governance Journey"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Roboto" w:cs="Roboto" w:eastAsia="Roboto" w:hAnsi="Roboto"/>
          <w:b w:val="1"/>
          <w:bCs w:val="1"/>
          <w:sz w:val="34"/>
          <w:szCs w:val="34"/>
        </w:rPr>
      </w:pPr>
      <w:bookmarkStart w:colFirst="0" w:colLast="0" w:name="_ogd6meu2mv95" w:id="3"/>
      <w:bookmarkEnd w:id="3"/>
      <w:r w:rsidDel="00000000" w:rsidR="00000000" w:rsidRPr="00000000">
        <w:rPr>
          <w:rFonts w:ascii="Roboto" w:cs="Roboto" w:eastAsia="Roboto" w:hAnsi="Roboto"/>
          <w:b w:val="1"/>
          <w:bCs w:val="1"/>
          <w:sz w:val="34"/>
          <w:szCs w:val="34"/>
          <w:rtl w:val="0"/>
        </w:rPr>
        <w:t xml:space="preserve">SECTION 2: ORGANIZATION / INDUSTRY CONTEXT</w:t>
      </w:r>
    </w:p>
    <w:p w:rsidR="00000000" w:rsidDel="00000000" w:rsidP="00000000" w:rsidRDefault="00000000" w:rsidRPr="00000000" w14:paraId="00000013">
      <w:pPr>
        <w:pStyle w:val="Heading2"/>
        <w:keepNext w:val="0"/>
        <w:keepLines w:val="0"/>
        <w:spacing w:after="80" w:lineRule="auto"/>
        <w:rPr>
          <w:rFonts w:ascii="Roboto" w:cs="Roboto" w:eastAsia="Roboto" w:hAnsi="Roboto"/>
          <w:b w:val="1"/>
          <w:bCs w:val="1"/>
          <w:sz w:val="34"/>
          <w:szCs w:val="34"/>
        </w:rPr>
      </w:pPr>
      <w:bookmarkStart w:colFirst="0" w:colLast="0" w:name="_putte5sj4c9o" w:id="4"/>
      <w:bookmarkEnd w:id="4"/>
      <w:r w:rsidDel="00000000" w:rsidR="00000000" w:rsidRPr="00000000">
        <w:rPr>
          <w:rFonts w:ascii="Roboto" w:cs="Roboto" w:eastAsia="Roboto" w:hAnsi="Roboto"/>
          <w:b w:val="1"/>
          <w:bCs w:val="1"/>
          <w:sz w:val="34"/>
          <w:szCs w:val="34"/>
          <w:rtl w:val="0"/>
        </w:rPr>
        <w:t xml:space="preserve">Organization: Tesla, Inc.</w:t>
      </w:r>
    </w:p>
    <w:p w:rsidR="00000000" w:rsidDel="00000000" w:rsidP="00000000" w:rsidRDefault="00000000" w:rsidRPr="00000000" w14:paraId="00000014">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Headquarters: Austin, Texas, USA (redomesticated from Delaware in 2024)</w:t>
      </w:r>
    </w:p>
    <w:p w:rsidR="00000000" w:rsidDel="00000000" w:rsidP="00000000" w:rsidRDefault="00000000" w:rsidRPr="00000000" w14:paraId="00000015">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Sector: Electric Vehicles (EVs), Energy Storage, Sustainable Technology</w:t>
      </w:r>
    </w:p>
    <w:p w:rsidR="00000000" w:rsidDel="00000000" w:rsidP="00000000" w:rsidRDefault="00000000" w:rsidRPr="00000000" w14:paraId="00000016">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Market Cap (as of January 2026): ~$1.2 trillion</w:t>
      </w:r>
    </w:p>
    <w:p w:rsidR="00000000" w:rsidDel="00000000" w:rsidP="00000000" w:rsidRDefault="00000000" w:rsidRPr="00000000" w14:paraId="00000017">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Global Employees: ~150,000+</w:t>
      </w:r>
    </w:p>
    <w:p w:rsidR="00000000" w:rsidDel="00000000" w:rsidP="00000000" w:rsidRDefault="00000000" w:rsidRPr="00000000" w14:paraId="00000018">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Founded: 2003 | Public IPO: June 2010</w:t>
      </w:r>
    </w:p>
    <w:p w:rsidR="00000000" w:rsidDel="00000000" w:rsidP="00000000" w:rsidRDefault="00000000" w:rsidRPr="00000000" w14:paraId="00000019">
      <w:pPr>
        <w:pStyle w:val="Heading2"/>
        <w:keepNext w:val="0"/>
        <w:keepLines w:val="0"/>
        <w:spacing w:after="80" w:lineRule="auto"/>
        <w:rPr>
          <w:rFonts w:ascii="Roboto" w:cs="Roboto" w:eastAsia="Roboto" w:hAnsi="Roboto"/>
          <w:b w:val="1"/>
          <w:bCs w:val="1"/>
          <w:sz w:val="34"/>
          <w:szCs w:val="34"/>
        </w:rPr>
      </w:pPr>
      <w:bookmarkStart w:colFirst="0" w:colLast="0" w:name="_gy8nuhdevxt4" w:id="5"/>
      <w:bookmarkEnd w:id="5"/>
      <w:r w:rsidDel="00000000" w:rsidR="00000000" w:rsidRPr="00000000">
        <w:rPr>
          <w:rFonts w:ascii="Roboto" w:cs="Roboto" w:eastAsia="Roboto" w:hAnsi="Roboto"/>
          <w:b w:val="1"/>
          <w:bCs w:val="1"/>
          <w:sz w:val="34"/>
          <w:szCs w:val="34"/>
          <w:rtl w:val="0"/>
        </w:rPr>
        <w:t xml:space="preserve">Industry Context</w:t>
      </w:r>
    </w:p>
    <w:p w:rsidR="00000000" w:rsidDel="00000000" w:rsidP="00000000" w:rsidRDefault="00000000" w:rsidRPr="00000000" w14:paraId="0000001A">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Market Dynamics (2018–2024):</w:t>
      </w:r>
    </w:p>
    <w:p w:rsidR="00000000" w:rsidDel="00000000" w:rsidP="00000000" w:rsidRDefault="00000000" w:rsidRPr="00000000" w14:paraId="0000001B">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Global EV adoption accelerated, particularly post-COVID (pandemic shifted consumer preferences toward sustainable tech)</w:t>
      </w:r>
    </w:p>
    <w:p w:rsidR="00000000" w:rsidDel="00000000" w:rsidP="00000000" w:rsidRDefault="00000000" w:rsidRPr="00000000" w14:paraId="0000001C">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Regulatory support intensified worldwide (EU net-zero mandates, U.S. Inflation Reduction Act subsidies)</w:t>
      </w:r>
    </w:p>
    <w:p w:rsidR="00000000" w:rsidDel="00000000" w:rsidP="00000000" w:rsidRDefault="00000000" w:rsidRPr="00000000" w14:paraId="0000001D">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Competitive pressure increased: traditional automakers (VW, GM, Ford) pivoted to EVs; new entrants (BYD, Rivian, Lucid) emerged</w:t>
      </w:r>
    </w:p>
    <w:p w:rsidR="00000000" w:rsidDel="00000000" w:rsidP="00000000" w:rsidRDefault="00000000" w:rsidRPr="00000000" w14:paraId="0000001E">
      <w:pPr>
        <w:numPr>
          <w:ilvl w:val="0"/>
          <w:numId w:val="2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Energy storage and grid technology became as strategically important as vehicle sales</w:t>
      </w:r>
    </w:p>
    <w:p w:rsidR="00000000" w:rsidDel="00000000" w:rsidP="00000000" w:rsidRDefault="00000000" w:rsidRPr="00000000" w14:paraId="0000001F">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Governance Expectations:</w:t>
      </w:r>
    </w:p>
    <w:p w:rsidR="00000000" w:rsidDel="00000000" w:rsidP="00000000" w:rsidRDefault="00000000" w:rsidRPr="00000000" w14:paraId="00000020">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Public markets increasingly scrutinized founder-led companies for independence and accountability</w:t>
      </w:r>
    </w:p>
    <w:p w:rsidR="00000000" w:rsidDel="00000000" w:rsidP="00000000" w:rsidRDefault="00000000" w:rsidRPr="00000000" w14:paraId="00000021">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Shareholders in high-growth tech firms demanded board diversity, transparent compensation, and genuine oversight</w:t>
      </w:r>
    </w:p>
    <w:p w:rsidR="00000000" w:rsidDel="00000000" w:rsidP="00000000" w:rsidRDefault="00000000" w:rsidRPr="00000000" w14:paraId="00000022">
      <w:pPr>
        <w:numPr>
          <w:ilvl w:val="0"/>
          <w:numId w:val="3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Delaware courts became more willing to scrutinize conflicted-CEO scenarios, particularly in executive compensation</w:t>
      </w:r>
    </w:p>
    <w:p w:rsidR="00000000" w:rsidDel="00000000" w:rsidP="00000000" w:rsidRDefault="00000000" w:rsidRPr="00000000" w14:paraId="0000002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Paradox for Tesla's Board:</w:t>
      </w:r>
    </w:p>
    <w:p w:rsidR="00000000" w:rsidDel="00000000" w:rsidP="00000000" w:rsidRDefault="00000000" w:rsidRPr="00000000" w14:paraId="00000024">
      <w:pPr>
        <w:numPr>
          <w:ilvl w:val="0"/>
          <w:numId w:val="2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How to provide governance oversight when the CEO's vision and personal brand are synonymous with the company's market success?</w:t>
      </w:r>
    </w:p>
    <w:p w:rsidR="00000000" w:rsidDel="00000000" w:rsidP="00000000" w:rsidRDefault="00000000" w:rsidRPr="00000000" w14:paraId="00000025">
      <w:pPr>
        <w:numPr>
          <w:ilvl w:val="0"/>
          <w:numId w:val="2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How to balance Musk's strategic autonomy with institutional safeguards, especially in a post-COVID environment where adaptability became survival?</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Roboto" w:cs="Roboto" w:eastAsia="Roboto" w:hAnsi="Roboto"/>
          <w:b w:val="1"/>
          <w:bCs w:val="1"/>
          <w:sz w:val="34"/>
          <w:szCs w:val="34"/>
        </w:rPr>
      </w:pPr>
      <w:bookmarkStart w:colFirst="0" w:colLast="0" w:name="_gfrpzz8lcu4x" w:id="6"/>
      <w:bookmarkEnd w:id="6"/>
      <w:r w:rsidDel="00000000" w:rsidR="00000000" w:rsidRPr="00000000">
        <w:rPr>
          <w:rFonts w:ascii="Roboto" w:cs="Roboto" w:eastAsia="Roboto" w:hAnsi="Roboto"/>
          <w:b w:val="1"/>
          <w:bCs w:val="1"/>
          <w:sz w:val="34"/>
          <w:szCs w:val="34"/>
          <w:rtl w:val="0"/>
        </w:rPr>
        <w:t xml:space="preserve">SECTION 3: KEY ISSUE / DECISION DILEMMA</w:t>
      </w:r>
    </w:p>
    <w:p w:rsidR="00000000" w:rsidDel="00000000" w:rsidP="00000000" w:rsidRDefault="00000000" w:rsidRPr="00000000" w14:paraId="00000028">
      <w:pPr>
        <w:pStyle w:val="Heading2"/>
        <w:keepNext w:val="0"/>
        <w:keepLines w:val="0"/>
        <w:spacing w:after="80" w:lineRule="auto"/>
        <w:rPr>
          <w:rFonts w:ascii="Roboto" w:cs="Roboto" w:eastAsia="Roboto" w:hAnsi="Roboto"/>
          <w:b w:val="1"/>
          <w:bCs w:val="1"/>
          <w:sz w:val="34"/>
          <w:szCs w:val="34"/>
        </w:rPr>
      </w:pPr>
      <w:bookmarkStart w:colFirst="0" w:colLast="0" w:name="_wn2kxro17wz3" w:id="7"/>
      <w:bookmarkEnd w:id="7"/>
      <w:r w:rsidDel="00000000" w:rsidR="00000000" w:rsidRPr="00000000">
        <w:rPr>
          <w:rFonts w:ascii="Roboto" w:cs="Roboto" w:eastAsia="Roboto" w:hAnsi="Roboto"/>
          <w:b w:val="1"/>
          <w:bCs w:val="1"/>
          <w:sz w:val="34"/>
          <w:szCs w:val="34"/>
          <w:rtl w:val="0"/>
        </w:rPr>
        <w:t xml:space="preserve">Central Question for the Board:</w:t>
      </w:r>
    </w:p>
    <w:p w:rsidR="00000000" w:rsidDel="00000000" w:rsidP="00000000" w:rsidRDefault="00000000" w:rsidRPr="00000000" w14:paraId="0000002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should Tesla's Board design governance structures and oversight when the company's market value, strategic direction, and public identity appear heavily concentrated around a single dominant leader?</w:t>
      </w:r>
    </w:p>
    <w:p w:rsidR="00000000" w:rsidDel="00000000" w:rsidP="00000000" w:rsidRDefault="00000000" w:rsidRPr="00000000" w14:paraId="0000002A">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 more specifically:</w:t>
      </w:r>
    </w:p>
    <w:p w:rsidR="00000000" w:rsidDel="00000000" w:rsidP="00000000" w:rsidRDefault="00000000" w:rsidRPr="00000000" w14:paraId="0000002B">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board's role and responsibility when the CEO exercises substantial situational control over critical decisions (compensation, strategy, disclosure), yet shareholders and the market appear willing to accept this arrangement because of the CEO's demonstrated value creation?</w:t>
      </w:r>
    </w:p>
    <w:p w:rsidR="00000000" w:rsidDel="00000000" w:rsidP="00000000" w:rsidRDefault="00000000" w:rsidRPr="00000000" w14:paraId="0000002C">
      <w:pPr>
        <w:pStyle w:val="Heading2"/>
        <w:keepNext w:val="0"/>
        <w:keepLines w:val="0"/>
        <w:spacing w:after="80" w:lineRule="auto"/>
        <w:rPr>
          <w:rFonts w:ascii="Roboto" w:cs="Roboto" w:eastAsia="Roboto" w:hAnsi="Roboto"/>
          <w:b w:val="1"/>
          <w:bCs w:val="1"/>
          <w:sz w:val="34"/>
          <w:szCs w:val="34"/>
        </w:rPr>
      </w:pPr>
      <w:bookmarkStart w:colFirst="0" w:colLast="0" w:name="_hmljvqywyltq" w:id="8"/>
      <w:bookmarkEnd w:id="8"/>
      <w:r w:rsidDel="00000000" w:rsidR="00000000" w:rsidRPr="00000000">
        <w:rPr>
          <w:rFonts w:ascii="Roboto" w:cs="Roboto" w:eastAsia="Roboto" w:hAnsi="Roboto"/>
          <w:b w:val="1"/>
          <w:bCs w:val="1"/>
          <w:sz w:val="34"/>
          <w:szCs w:val="34"/>
          <w:rtl w:val="0"/>
        </w:rPr>
        <w:t xml:space="preserve">Five Core Dilemmas (2018–2024 Journey):</w:t>
      </w:r>
    </w:p>
    <w:p w:rsidR="00000000" w:rsidDel="00000000" w:rsidP="00000000" w:rsidRDefault="00000000" w:rsidRPr="00000000" w14:paraId="0000002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One-Man Company Risk vs. Execution Speed</w:t>
      </w:r>
    </w:p>
    <w:p w:rsidR="00000000" w:rsidDel="00000000" w:rsidP="00000000" w:rsidRDefault="00000000" w:rsidRPr="00000000" w14:paraId="0000002E">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Tesla's COVID-era growth (2020–2021) and post-pandemic strategic pivots (energy storage, Berlin/Austin Gigafactories, FSD ambitions) were executed with remarkable speed under Musk's direct leadership</w:t>
      </w:r>
    </w:p>
    <w:p w:rsidR="00000000" w:rsidDel="00000000" w:rsidP="00000000" w:rsidRDefault="00000000" w:rsidRPr="00000000" w14:paraId="0000002F">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Yet such concentration of power creates existential risk for the company if the CEO leaves, becomes incapacitated, or makes strategic errors</w:t>
      </w:r>
    </w:p>
    <w:p w:rsidR="00000000" w:rsidDel="00000000" w:rsidP="00000000" w:rsidRDefault="00000000" w:rsidRPr="00000000" w14:paraId="00000030">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u w:val="single"/>
          <w:rtl w:val="0"/>
        </w:rPr>
        <w:t xml:space="preserve">Dilemma:</w:t>
      </w:r>
      <w:r w:rsidDel="00000000" w:rsidR="00000000" w:rsidRPr="00000000">
        <w:rPr>
          <w:rFonts w:ascii="Roboto" w:cs="Roboto" w:eastAsia="Roboto" w:hAnsi="Roboto"/>
          <w:sz w:val="24"/>
          <w:szCs w:val="24"/>
          <w:rtl w:val="0"/>
        </w:rPr>
        <w:t xml:space="preserve"> How can a board preserve the speed and innovation that come with founder leadership while protecting shareholders against concentration risk?</w:t>
      </w:r>
    </w:p>
    <w:p w:rsidR="00000000" w:rsidDel="00000000" w:rsidP="00000000" w:rsidRDefault="00000000" w:rsidRPr="00000000" w14:paraId="0000003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Independence in Form vs. Independence in Substance (Pre-COVID vs Post-COVID Shift)</w:t>
      </w:r>
    </w:p>
    <w:p w:rsidR="00000000" w:rsidDel="00000000" w:rsidP="00000000" w:rsidRDefault="00000000" w:rsidRPr="00000000" w14:paraId="00000032">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Pre-COVID (2018–2019): The board approved a massive CEO compensation plan with mixed disclosures and questionable process fairness</w:t>
      </w:r>
    </w:p>
    <w:p w:rsidR="00000000" w:rsidDel="00000000" w:rsidP="00000000" w:rsidRDefault="00000000" w:rsidRPr="00000000" w14:paraId="00000033">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Post-COVID (2020–2024): As Musk's strategic importance became undeniable during crisis periods, the board's willingness to challenge him appeared to diminish further</w:t>
      </w:r>
    </w:p>
    <w:p w:rsidR="00000000" w:rsidDel="00000000" w:rsidP="00000000" w:rsidRDefault="00000000" w:rsidRPr="00000000" w14:paraId="00000034">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Court documents revealed that directors held seats on Tesla because of Musk's influence, held Tesla board compensation as a significant wealth source, and viewed negotiations as "cooperative ventures" rather than arms-length</w:t>
      </w:r>
    </w:p>
    <w:p w:rsidR="00000000" w:rsidDel="00000000" w:rsidP="00000000" w:rsidRDefault="00000000" w:rsidRPr="00000000" w14:paraId="00000035">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Yet the board consistently claimed independence in proxy statements</w:t>
      </w:r>
    </w:p>
    <w:p w:rsidR="00000000" w:rsidDel="00000000" w:rsidP="00000000" w:rsidRDefault="00000000" w:rsidRPr="00000000" w14:paraId="00000036">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u w:val="single"/>
          <w:rtl w:val="0"/>
        </w:rPr>
        <w:t xml:space="preserve">Dilemma:</w:t>
      </w:r>
      <w:r w:rsidDel="00000000" w:rsidR="00000000" w:rsidRPr="00000000">
        <w:rPr>
          <w:rFonts w:ascii="Roboto" w:cs="Roboto" w:eastAsia="Roboto" w:hAnsi="Roboto"/>
          <w:sz w:val="24"/>
          <w:szCs w:val="24"/>
          <w:rtl w:val="0"/>
        </w:rPr>
        <w:t xml:space="preserve"> How can directors claim independence when their economic interest, personal relationships, and career advancement depend on the CEO's favor?</w:t>
      </w:r>
    </w:p>
    <w:p w:rsidR="00000000" w:rsidDel="00000000" w:rsidP="00000000" w:rsidRDefault="00000000" w:rsidRPr="00000000" w14:paraId="00000037">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Executive Compensation Governance in Crisis &amp; Growth Periods</w:t>
      </w:r>
    </w:p>
    <w:p w:rsidR="00000000" w:rsidDel="00000000" w:rsidP="00000000" w:rsidRDefault="00000000" w:rsidRPr="00000000" w14:paraId="00000038">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2018 Approval: A $55.8 billion performance-based plan (valued at time of grant) was approved by shareholders, but with process and disclosure deficiencies</w:t>
      </w:r>
    </w:p>
    <w:p w:rsidR="00000000" w:rsidDel="00000000" w:rsidP="00000000" w:rsidRDefault="00000000" w:rsidRPr="00000000" w14:paraId="00000039">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2020–2021 (COVID boom era): The plan milestones were achieved faster than expected; Musk's stake in the company's success became visibly aligned with shareholder success, but also raised questions about whether the plan was sufficiently challenging</w:t>
      </w:r>
    </w:p>
    <w:p w:rsidR="00000000" w:rsidDel="00000000" w:rsidP="00000000" w:rsidRDefault="00000000" w:rsidRPr="00000000" w14:paraId="0000003A">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2024 (Post-court ruling): The board faced pressure to re-approve the plan after a trial court rescinded it, while also proposing new compensation structures</w:t>
      </w:r>
    </w:p>
    <w:p w:rsidR="00000000" w:rsidDel="00000000" w:rsidP="00000000" w:rsidRDefault="00000000" w:rsidRPr="00000000" w14:paraId="0000003B">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u w:val="single"/>
          <w:rtl w:val="0"/>
        </w:rPr>
        <w:t xml:space="preserve">Dilemma:</w:t>
      </w:r>
      <w:r w:rsidDel="00000000" w:rsidR="00000000" w:rsidRPr="00000000">
        <w:rPr>
          <w:rFonts w:ascii="Roboto" w:cs="Roboto" w:eastAsia="Roboto" w:hAnsi="Roboto"/>
          <w:sz w:val="24"/>
          <w:szCs w:val="24"/>
          <w:rtl w:val="0"/>
        </w:rPr>
        <w:t xml:space="preserve"> What process and disclosure standards should a board use for CEO compensation to ensure legitimacy and withstand shareholder and legal scrutiny?</w:t>
      </w:r>
    </w:p>
    <w:p w:rsidR="00000000" w:rsidDel="00000000" w:rsidP="00000000" w:rsidRDefault="00000000" w:rsidRPr="00000000" w14:paraId="0000003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Responding to the CEO's Power Dynamics</w:t>
      </w:r>
    </w:p>
    <w:p w:rsidR="00000000" w:rsidDel="00000000" w:rsidP="00000000" w:rsidRDefault="00000000" w:rsidRPr="00000000" w14:paraId="0000003D">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Musk has publicly and privately signaled that acceptance of governance constraints (independent board, limited voting power, transparency requirements) may not align with his long-term commitment to Tesla</w:t>
      </w:r>
    </w:p>
    <w:p w:rsidR="00000000" w:rsidDel="00000000" w:rsidP="00000000" w:rsidRDefault="00000000" w:rsidRPr="00000000" w14:paraId="0000003E">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board has faced implicit and explicit pressure: acquiesce to CEO preferences or risk losing the visionary leader</w:t>
      </w:r>
    </w:p>
    <w:p w:rsidR="00000000" w:rsidDel="00000000" w:rsidP="00000000" w:rsidRDefault="00000000" w:rsidRPr="00000000" w14:paraId="0000003F">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Meanwhile, shareholders and regulators expect the board to assert independence</w:t>
      </w:r>
    </w:p>
    <w:p w:rsidR="00000000" w:rsidDel="00000000" w:rsidP="00000000" w:rsidRDefault="00000000" w:rsidRPr="00000000" w14:paraId="00000040">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u w:val="single"/>
          <w:rtl w:val="0"/>
        </w:rPr>
        <w:t xml:space="preserve">Dilemma:</w:t>
      </w:r>
      <w:r w:rsidDel="00000000" w:rsidR="00000000" w:rsidRPr="00000000">
        <w:rPr>
          <w:rFonts w:ascii="Roboto" w:cs="Roboto" w:eastAsia="Roboto" w:hAnsi="Roboto"/>
          <w:sz w:val="24"/>
          <w:szCs w:val="24"/>
          <w:rtl w:val="0"/>
        </w:rPr>
        <w:t xml:space="preserve"> How should a board respond when the CEO uses his visibility and influence (through public statements, threats to reduce commitment, or strategic negotiations) to shape board decisions?</w:t>
      </w:r>
    </w:p>
    <w:p w:rsidR="00000000" w:rsidDel="00000000" w:rsidP="00000000" w:rsidRDefault="00000000" w:rsidRPr="00000000" w14:paraId="0000004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Governance Reforms: Symbolic vs. Structural</w:t>
      </w:r>
    </w:p>
    <w:p w:rsidR="00000000" w:rsidDel="00000000" w:rsidP="00000000" w:rsidRDefault="00000000" w:rsidRPr="00000000" w14:paraId="00000042">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2024 shareholder votes: The board asked shareholders to approve governance reforms—annual director elections, elimination of supermajority voting requirements, relocated incorporation to Texas with revised governance</w:t>
      </w:r>
    </w:p>
    <w:p w:rsidR="00000000" w:rsidDel="00000000" w:rsidP="00000000" w:rsidRDefault="00000000" w:rsidRPr="00000000" w14:paraId="00000043">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These reforms were presented as evidence of board responsiveness to shareholder concerns</w:t>
      </w:r>
    </w:p>
    <w:p w:rsidR="00000000" w:rsidDel="00000000" w:rsidP="00000000" w:rsidRDefault="00000000" w:rsidRPr="00000000" w14:paraId="00000044">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Yet, critics argued that these reforms did not address the core issue: the CEO's actual control over board decision-making</w:t>
      </w:r>
    </w:p>
    <w:p w:rsidR="00000000" w:rsidDel="00000000" w:rsidP="00000000" w:rsidRDefault="00000000" w:rsidRPr="00000000" w14:paraId="00000045">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u w:val="single"/>
          <w:rtl w:val="0"/>
        </w:rPr>
        <w:t xml:space="preserve">Dilemma:</w:t>
      </w:r>
      <w:r w:rsidDel="00000000" w:rsidR="00000000" w:rsidRPr="00000000">
        <w:rPr>
          <w:rFonts w:ascii="Roboto" w:cs="Roboto" w:eastAsia="Roboto" w:hAnsi="Roboto"/>
          <w:sz w:val="24"/>
          <w:szCs w:val="24"/>
          <w:rtl w:val="0"/>
        </w:rPr>
        <w:t xml:space="preserve"> Are incremental governance reforms sufficient, or does a truly independent board require structural changes (e.g., independent board chair, CEO term limits, mandatory refreshment)?</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Roboto" w:cs="Roboto" w:eastAsia="Roboto" w:hAnsi="Roboto"/>
          <w:b w:val="1"/>
          <w:bCs w:val="1"/>
          <w:sz w:val="34"/>
          <w:szCs w:val="34"/>
        </w:rPr>
      </w:pPr>
      <w:bookmarkStart w:colFirst="0" w:colLast="0" w:name="_kb32ae10dgbb" w:id="9"/>
      <w:bookmarkEnd w:id="9"/>
      <w:r w:rsidDel="00000000" w:rsidR="00000000" w:rsidRPr="00000000">
        <w:rPr>
          <w:rFonts w:ascii="Roboto" w:cs="Roboto" w:eastAsia="Roboto" w:hAnsi="Roboto"/>
          <w:b w:val="1"/>
          <w:bCs w:val="1"/>
          <w:sz w:val="34"/>
          <w:szCs w:val="34"/>
          <w:rtl w:val="0"/>
        </w:rPr>
        <w:t xml:space="preserve">SECTION 4: BACKGROUND SUMMARY (MAX 100 WORDS)</w:t>
      </w:r>
    </w:p>
    <w:p w:rsidR="00000000" w:rsidDel="00000000" w:rsidP="00000000" w:rsidRDefault="00000000" w:rsidRPr="00000000" w14:paraId="0000004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2018, Tesla's Board of Directors approved a performance-based compensation plan for CEO Elon Musk (12 tranches of options tied to ambitious market-cap and operational milestones). Over the following six years—spanning the COVID-19 pandemic and Tesla's explosive growth—all performance milestones were achieved, and tranches vested. In January 2024, a Delaware Court of Chancery ruled that the board lacked independence and failed fair-process obligations in approving the plan, ordering its rescission. This decision raised fundamental questions about board governance in founder-led companies. By late 2024, Tesla's board faced multiple pressures: shareholder activism for governance reform, the need to redesign compensation processes, and ongoing questions about whether incremental reforms could address deep concentration-of-power concerns.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Roboto" w:cs="Roboto" w:eastAsia="Roboto" w:hAnsi="Roboto"/>
          <w:b w:val="1"/>
          <w:bCs w:val="1"/>
          <w:sz w:val="34"/>
          <w:szCs w:val="34"/>
        </w:rPr>
      </w:pPr>
      <w:bookmarkStart w:colFirst="0" w:colLast="0" w:name="_34cg9oup0y4t" w:id="10"/>
      <w:bookmarkEnd w:id="10"/>
      <w:r w:rsidDel="00000000" w:rsidR="00000000" w:rsidRPr="00000000">
        <w:rPr>
          <w:rFonts w:ascii="Roboto" w:cs="Roboto" w:eastAsia="Roboto" w:hAnsi="Roboto"/>
          <w:b w:val="1"/>
          <w:bCs w:val="1"/>
          <w:sz w:val="34"/>
          <w:szCs w:val="34"/>
          <w:rtl w:val="0"/>
        </w:rPr>
        <w:t xml:space="preserve">SECTION 5: WHAT MAKES IT TEACHABLE?</w:t>
      </w:r>
    </w:p>
    <w:p w:rsidR="00000000" w:rsidDel="00000000" w:rsidP="00000000" w:rsidRDefault="00000000" w:rsidRPr="00000000" w14:paraId="0000004B">
      <w:pPr>
        <w:pStyle w:val="Heading2"/>
        <w:keepNext w:val="0"/>
        <w:keepLines w:val="0"/>
        <w:spacing w:after="80" w:lineRule="auto"/>
        <w:rPr>
          <w:rFonts w:ascii="Roboto" w:cs="Roboto" w:eastAsia="Roboto" w:hAnsi="Roboto"/>
          <w:b w:val="1"/>
          <w:bCs w:val="1"/>
          <w:sz w:val="34"/>
          <w:szCs w:val="34"/>
        </w:rPr>
      </w:pPr>
      <w:bookmarkStart w:colFirst="0" w:colLast="0" w:name="_wauinwnl48ta" w:id="11"/>
      <w:bookmarkEnd w:id="11"/>
      <w:r w:rsidDel="00000000" w:rsidR="00000000" w:rsidRPr="00000000">
        <w:rPr>
          <w:rFonts w:ascii="Roboto" w:cs="Roboto" w:eastAsia="Roboto" w:hAnsi="Roboto"/>
          <w:b w:val="1"/>
          <w:bCs w:val="1"/>
          <w:sz w:val="34"/>
          <w:szCs w:val="34"/>
          <w:rtl w:val="0"/>
        </w:rPr>
        <w:t xml:space="preserve">Primary Teaching Domains:</w:t>
      </w:r>
    </w:p>
    <w:p w:rsidR="00000000" w:rsidDel="00000000" w:rsidP="00000000" w:rsidRDefault="00000000" w:rsidRPr="00000000" w14:paraId="0000004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Corporate Governance &amp; Board Effectiveness</w:t>
      </w:r>
    </w:p>
    <w:p w:rsidR="00000000" w:rsidDel="00000000" w:rsidP="00000000" w:rsidRDefault="00000000" w:rsidRPr="00000000" w14:paraId="0000004D">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Frameworks:</w:t>
      </w:r>
      <w:r w:rsidDel="00000000" w:rsidR="00000000" w:rsidRPr="00000000">
        <w:rPr>
          <w:rFonts w:ascii="Roboto" w:cs="Roboto" w:eastAsia="Roboto" w:hAnsi="Roboto"/>
          <w:sz w:val="24"/>
          <w:szCs w:val="24"/>
          <w:rtl w:val="0"/>
        </w:rPr>
        <w:t xml:space="preserve"> Independence standards (in fact vs. in form); entire fairness doctrine under Delaware law; controlling shareholder doctrine</w:t>
      </w:r>
    </w:p>
    <w:p w:rsidR="00000000" w:rsidDel="00000000" w:rsidP="00000000" w:rsidRDefault="00000000" w:rsidRPr="00000000" w14:paraId="0000004E">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Concepts:</w:t>
      </w:r>
      <w:r w:rsidDel="00000000" w:rsidR="00000000" w:rsidRPr="00000000">
        <w:rPr>
          <w:rFonts w:ascii="Roboto" w:cs="Roboto" w:eastAsia="Roboto" w:hAnsi="Roboto"/>
          <w:sz w:val="24"/>
          <w:szCs w:val="24"/>
          <w:rtl w:val="0"/>
        </w:rPr>
        <w:t xml:space="preserve"> When does a board cease to be independent? What structures genuinely constrain a powerful CEO?</w:t>
      </w:r>
    </w:p>
    <w:p w:rsidR="00000000" w:rsidDel="00000000" w:rsidP="00000000" w:rsidRDefault="00000000" w:rsidRPr="00000000" w14:paraId="0000004F">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Classroom Application:</w:t>
      </w:r>
      <w:r w:rsidDel="00000000" w:rsidR="00000000" w:rsidRPr="00000000">
        <w:rPr>
          <w:rFonts w:ascii="Roboto" w:cs="Roboto" w:eastAsia="Roboto" w:hAnsi="Roboto"/>
          <w:sz w:val="24"/>
          <w:szCs w:val="24"/>
          <w:rtl w:val="0"/>
        </w:rPr>
        <w:t xml:space="preserve"> Students analyze Tesla's board composition, member ties to Musk, and economic dependencies. Can boards be truly independent when they depend on the CEO for their positions and compensation?</w:t>
      </w:r>
    </w:p>
    <w:p w:rsidR="00000000" w:rsidDel="00000000" w:rsidP="00000000" w:rsidRDefault="00000000" w:rsidRPr="00000000" w14:paraId="0000005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Executive Compensation &amp; Incentive Design</w:t>
      </w:r>
    </w:p>
    <w:p w:rsidR="00000000" w:rsidDel="00000000" w:rsidP="00000000" w:rsidRDefault="00000000" w:rsidRPr="00000000" w14:paraId="00000051">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Frameworks:</w:t>
      </w:r>
      <w:r w:rsidDel="00000000" w:rsidR="00000000" w:rsidRPr="00000000">
        <w:rPr>
          <w:rFonts w:ascii="Roboto" w:cs="Roboto" w:eastAsia="Roboto" w:hAnsi="Roboto"/>
          <w:sz w:val="24"/>
          <w:szCs w:val="24"/>
          <w:rtl w:val="0"/>
        </w:rPr>
        <w:t xml:space="preserve"> Performance-based equity; shareholder approval mechanisms; disclosure standards; process fairness (entire fairness test; MFW framework)</w:t>
      </w:r>
    </w:p>
    <w:p w:rsidR="00000000" w:rsidDel="00000000" w:rsidP="00000000" w:rsidRDefault="00000000" w:rsidRPr="00000000" w14:paraId="00000052">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Concepts:</w:t>
      </w:r>
      <w:r w:rsidDel="00000000" w:rsidR="00000000" w:rsidRPr="00000000">
        <w:rPr>
          <w:rFonts w:ascii="Roboto" w:cs="Roboto" w:eastAsia="Roboto" w:hAnsi="Roboto"/>
          <w:sz w:val="24"/>
          <w:szCs w:val="24"/>
          <w:rtl w:val="0"/>
        </w:rPr>
        <w:t xml:space="preserve"> How should boards design CEO compensation that is both retentive and fair? What disclosure obligations apply when the CEO has influence over the process?</w:t>
      </w:r>
    </w:p>
    <w:p w:rsidR="00000000" w:rsidDel="00000000" w:rsidP="00000000" w:rsidRDefault="00000000" w:rsidRPr="00000000" w14:paraId="00000053">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Classroom Application:</w:t>
      </w:r>
      <w:r w:rsidDel="00000000" w:rsidR="00000000" w:rsidRPr="00000000">
        <w:rPr>
          <w:rFonts w:ascii="Roboto" w:cs="Roboto" w:eastAsia="Roboto" w:hAnsi="Roboto"/>
          <w:sz w:val="24"/>
          <w:szCs w:val="24"/>
          <w:rtl w:val="0"/>
        </w:rPr>
        <w:t xml:space="preserve"> Students critique Tesla's 2018 compensation process: Was the disclosure adequate? Did the negotiation process meet fair-dealing standards? What would a more independent process look like?</w:t>
      </w:r>
    </w:p>
    <w:p w:rsidR="00000000" w:rsidDel="00000000" w:rsidP="00000000" w:rsidRDefault="00000000" w:rsidRPr="00000000" w14:paraId="0000005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Leadership Under Pressure &amp; Organizational Dynamics</w:t>
      </w:r>
    </w:p>
    <w:p w:rsidR="00000000" w:rsidDel="00000000" w:rsidP="00000000" w:rsidRDefault="00000000" w:rsidRPr="00000000" w14:paraId="00000055">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Frameworks:</w:t>
      </w:r>
      <w:r w:rsidDel="00000000" w:rsidR="00000000" w:rsidRPr="00000000">
        <w:rPr>
          <w:rFonts w:ascii="Roboto" w:cs="Roboto" w:eastAsia="Roboto" w:hAnsi="Roboto"/>
          <w:sz w:val="24"/>
          <w:szCs w:val="24"/>
          <w:rtl w:val="0"/>
        </w:rPr>
        <w:t xml:space="preserve"> Superstar CEO doctrine; CEO control and power dynamics; situational control (Delaware case law)</w:t>
      </w:r>
    </w:p>
    <w:p w:rsidR="00000000" w:rsidDel="00000000" w:rsidP="00000000" w:rsidRDefault="00000000" w:rsidRPr="00000000" w14:paraId="00000056">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Concepts:</w:t>
      </w:r>
      <w:r w:rsidDel="00000000" w:rsidR="00000000" w:rsidRPr="00000000">
        <w:rPr>
          <w:rFonts w:ascii="Roboto" w:cs="Roboto" w:eastAsia="Roboto" w:hAnsi="Roboto"/>
          <w:sz w:val="24"/>
          <w:szCs w:val="24"/>
          <w:rtl w:val="0"/>
        </w:rPr>
        <w:t xml:space="preserve"> How do powerful, visionary leaders reshape board dynamics? When does board deference become abrogation of duty?</w:t>
      </w:r>
    </w:p>
    <w:p w:rsidR="00000000" w:rsidDel="00000000" w:rsidP="00000000" w:rsidRDefault="00000000" w:rsidRPr="00000000" w14:paraId="00000057">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Classroom Application:</w:t>
      </w:r>
      <w:r w:rsidDel="00000000" w:rsidR="00000000" w:rsidRPr="00000000">
        <w:rPr>
          <w:rFonts w:ascii="Roboto" w:cs="Roboto" w:eastAsia="Roboto" w:hAnsi="Roboto"/>
          <w:sz w:val="24"/>
          <w:szCs w:val="24"/>
          <w:rtl w:val="0"/>
        </w:rPr>
        <w:t xml:space="preserve"> Students examine court testimony and board records to understand how Musk's presence and preferences influenced directors' decisions.</w:t>
      </w:r>
    </w:p>
    <w:p w:rsidR="00000000" w:rsidDel="00000000" w:rsidP="00000000" w:rsidRDefault="00000000" w:rsidRPr="00000000" w14:paraId="0000005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Organizational Behavior: Groupthink, Conformity &amp; Psychological Safety</w:t>
      </w:r>
    </w:p>
    <w:p w:rsidR="00000000" w:rsidDel="00000000" w:rsidP="00000000" w:rsidRDefault="00000000" w:rsidRPr="00000000" w14:paraId="00000059">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Frameworks:</w:t>
      </w:r>
      <w:r w:rsidDel="00000000" w:rsidR="00000000" w:rsidRPr="00000000">
        <w:rPr>
          <w:rFonts w:ascii="Roboto" w:cs="Roboto" w:eastAsia="Roboto" w:hAnsi="Roboto"/>
          <w:sz w:val="24"/>
          <w:szCs w:val="24"/>
          <w:rtl w:val="0"/>
        </w:rPr>
        <w:t xml:space="preserve"> Cognitive biases (admiration bias, authority bias, confirmation bias); psychological safety; incentive misalignment</w:t>
      </w:r>
    </w:p>
    <w:p w:rsidR="00000000" w:rsidDel="00000000" w:rsidP="00000000" w:rsidRDefault="00000000" w:rsidRPr="00000000" w14:paraId="0000005A">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Concepts:</w:t>
      </w:r>
      <w:r w:rsidDel="00000000" w:rsidR="00000000" w:rsidRPr="00000000">
        <w:rPr>
          <w:rFonts w:ascii="Roboto" w:cs="Roboto" w:eastAsia="Roboto" w:hAnsi="Roboto"/>
          <w:sz w:val="24"/>
          <w:szCs w:val="24"/>
          <w:rtl w:val="0"/>
        </w:rPr>
        <w:t xml:space="preserve"> How do personal relationships, wealth dependencies, and respect for a visionary leader undermine critical board evaluation?</w:t>
      </w:r>
    </w:p>
    <w:p w:rsidR="00000000" w:rsidDel="00000000" w:rsidP="00000000" w:rsidRDefault="00000000" w:rsidRPr="00000000" w14:paraId="0000005B">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Classroom Application:</w:t>
      </w:r>
      <w:r w:rsidDel="00000000" w:rsidR="00000000" w:rsidRPr="00000000">
        <w:rPr>
          <w:rFonts w:ascii="Roboto" w:cs="Roboto" w:eastAsia="Roboto" w:hAnsi="Roboto"/>
          <w:sz w:val="24"/>
          <w:szCs w:val="24"/>
          <w:rtl w:val="0"/>
        </w:rPr>
        <w:t xml:space="preserve"> Students identify warning signs of compromised board independence in Tesla and apply lessons to their own organizations.</w:t>
      </w:r>
    </w:p>
    <w:p w:rsidR="00000000" w:rsidDel="00000000" w:rsidP="00000000" w:rsidRDefault="00000000" w:rsidRPr="00000000" w14:paraId="0000005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Legal &amp; Regulatory Risk Management</w:t>
      </w:r>
    </w:p>
    <w:p w:rsidR="00000000" w:rsidDel="00000000" w:rsidP="00000000" w:rsidRDefault="00000000" w:rsidRPr="00000000" w14:paraId="0000005D">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Frameworks:</w:t>
      </w:r>
      <w:r w:rsidDel="00000000" w:rsidR="00000000" w:rsidRPr="00000000">
        <w:rPr>
          <w:rFonts w:ascii="Roboto" w:cs="Roboto" w:eastAsia="Roboto" w:hAnsi="Roboto"/>
          <w:sz w:val="24"/>
          <w:szCs w:val="24"/>
          <w:rtl w:val="0"/>
        </w:rPr>
        <w:t xml:space="preserve"> Delaware fiduciary duty law; entire fairness standard; disclosure obligations; shareholder litigation and impact</w:t>
      </w:r>
    </w:p>
    <w:p w:rsidR="00000000" w:rsidDel="00000000" w:rsidP="00000000" w:rsidRDefault="00000000" w:rsidRPr="00000000" w14:paraId="0000005E">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Concepts:</w:t>
      </w:r>
      <w:r w:rsidDel="00000000" w:rsidR="00000000" w:rsidRPr="00000000">
        <w:rPr>
          <w:rFonts w:ascii="Roboto" w:cs="Roboto" w:eastAsia="Roboto" w:hAnsi="Roboto"/>
          <w:sz w:val="24"/>
          <w:szCs w:val="24"/>
          <w:rtl w:val="0"/>
        </w:rPr>
        <w:t xml:space="preserve"> How do court decisions reshape governance practice? What are the legal and reputational costs of governance failures?</w:t>
      </w:r>
    </w:p>
    <w:p w:rsidR="00000000" w:rsidDel="00000000" w:rsidP="00000000" w:rsidRDefault="00000000" w:rsidRPr="00000000" w14:paraId="0000005F">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Classroom Application:</w:t>
      </w:r>
      <w:r w:rsidDel="00000000" w:rsidR="00000000" w:rsidRPr="00000000">
        <w:rPr>
          <w:rFonts w:ascii="Roboto" w:cs="Roboto" w:eastAsia="Roboto" w:hAnsi="Roboto"/>
          <w:sz w:val="24"/>
          <w:szCs w:val="24"/>
          <w:rtl w:val="0"/>
        </w:rPr>
        <w:t xml:space="preserve"> Students trace the </w:t>
      </w:r>
      <w:r w:rsidDel="00000000" w:rsidR="00000000" w:rsidRPr="00000000">
        <w:rPr>
          <w:rFonts w:ascii="Roboto" w:cs="Roboto" w:eastAsia="Roboto" w:hAnsi="Roboto"/>
          <w:i w:val="1"/>
          <w:iCs w:val="1"/>
          <w:sz w:val="24"/>
          <w:szCs w:val="24"/>
          <w:rtl w:val="0"/>
        </w:rPr>
        <w:t xml:space="preserve">In re Tesla</w:t>
      </w:r>
      <w:r w:rsidDel="00000000" w:rsidR="00000000" w:rsidRPr="00000000">
        <w:rPr>
          <w:rFonts w:ascii="Nova Mono" w:cs="Nova Mono" w:eastAsia="Nova Mono" w:hAnsi="Nova Mono"/>
          <w:sz w:val="24"/>
          <w:szCs w:val="24"/>
          <w:rtl w:val="0"/>
        </w:rPr>
        <w:t xml:space="preserve"> case from board approval (2018) → shareholder lawsuit (2021) → trial court ruling (Jan 2024) → Supreme Court decision (Dec 2025) → implications for governance design.</w:t>
      </w:r>
    </w:p>
    <w:p w:rsidR="00000000" w:rsidDel="00000000" w:rsidP="00000000" w:rsidRDefault="00000000" w:rsidRPr="00000000" w14:paraId="0000006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 Change Management &amp; Institutional Reform</w:t>
      </w:r>
    </w:p>
    <w:p w:rsidR="00000000" w:rsidDel="00000000" w:rsidP="00000000" w:rsidRDefault="00000000" w:rsidRPr="00000000" w14:paraId="00000061">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Frameworks:</w:t>
      </w:r>
      <w:r w:rsidDel="00000000" w:rsidR="00000000" w:rsidRPr="00000000">
        <w:rPr>
          <w:rFonts w:ascii="Roboto" w:cs="Roboto" w:eastAsia="Roboto" w:hAnsi="Roboto"/>
          <w:sz w:val="24"/>
          <w:szCs w:val="24"/>
          <w:rtl w:val="0"/>
        </w:rPr>
        <w:t xml:space="preserve"> Incremental vs. transformational change; stakeholder engagement; resistance to change; governance by design</w:t>
      </w:r>
    </w:p>
    <w:p w:rsidR="00000000" w:rsidDel="00000000" w:rsidP="00000000" w:rsidRDefault="00000000" w:rsidRPr="00000000" w14:paraId="00000062">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Concepts:</w:t>
      </w:r>
      <w:r w:rsidDel="00000000" w:rsidR="00000000" w:rsidRPr="00000000">
        <w:rPr>
          <w:rFonts w:ascii="Roboto" w:cs="Roboto" w:eastAsia="Roboto" w:hAnsi="Roboto"/>
          <w:sz w:val="24"/>
          <w:szCs w:val="24"/>
          <w:rtl w:val="0"/>
        </w:rPr>
        <w:t xml:space="preserve"> Can a board reform itself while the CEO retains de facto control? Do governance reforms address root causes or create illusion of change?</w:t>
      </w:r>
    </w:p>
    <w:p w:rsidR="00000000" w:rsidDel="00000000" w:rsidP="00000000" w:rsidRDefault="00000000" w:rsidRPr="00000000" w14:paraId="00000063">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i w:val="1"/>
          <w:iCs w:val="1"/>
          <w:sz w:val="24"/>
          <w:szCs w:val="24"/>
          <w:rtl w:val="0"/>
        </w:rPr>
        <w:t xml:space="preserve">Classroom Application:</w:t>
      </w:r>
      <w:r w:rsidDel="00000000" w:rsidR="00000000" w:rsidRPr="00000000">
        <w:rPr>
          <w:rFonts w:ascii="Roboto" w:cs="Roboto" w:eastAsia="Roboto" w:hAnsi="Roboto"/>
          <w:sz w:val="24"/>
          <w:szCs w:val="24"/>
          <w:rtl w:val="0"/>
        </w:rPr>
        <w:t xml:space="preserve"> Students evaluate Tesla's 2024 governance reforms (annual elections, voting changes, reincorporation) and propose deeper structural changes.</w:t>
      </w:r>
    </w:p>
    <w:p w:rsidR="00000000" w:rsidDel="00000000" w:rsidP="00000000" w:rsidRDefault="00000000" w:rsidRPr="00000000" w14:paraId="00000064">
      <w:pPr>
        <w:pStyle w:val="Heading2"/>
        <w:keepNext w:val="0"/>
        <w:keepLines w:val="0"/>
        <w:spacing w:after="80" w:lineRule="auto"/>
        <w:rPr>
          <w:rFonts w:ascii="Roboto" w:cs="Roboto" w:eastAsia="Roboto" w:hAnsi="Roboto"/>
          <w:b w:val="1"/>
          <w:bCs w:val="1"/>
          <w:sz w:val="34"/>
          <w:szCs w:val="34"/>
        </w:rPr>
      </w:pPr>
      <w:bookmarkStart w:colFirst="0" w:colLast="0" w:name="_68zx6z5b2q7n" w:id="12"/>
      <w:bookmarkEnd w:id="12"/>
      <w:r w:rsidDel="00000000" w:rsidR="00000000" w:rsidRPr="00000000">
        <w:rPr>
          <w:rFonts w:ascii="Roboto" w:cs="Roboto" w:eastAsia="Roboto" w:hAnsi="Roboto"/>
          <w:b w:val="1"/>
          <w:bCs w:val="1"/>
          <w:sz w:val="34"/>
          <w:szCs w:val="34"/>
          <w:rtl w:val="0"/>
        </w:rPr>
        <w:t xml:space="preserve">Why This Case is Compelling:</w:t>
      </w:r>
    </w:p>
    <w:p w:rsidR="00000000" w:rsidDel="00000000" w:rsidP="00000000" w:rsidRDefault="00000000" w:rsidRPr="00000000" w14:paraId="00000065">
      <w:pPr>
        <w:spacing w:after="120" w:before="1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Landmark legal precedent: </w:t>
      </w:r>
      <w:r w:rsidDel="00000000" w:rsidR="00000000" w:rsidRPr="00000000">
        <w:rPr>
          <w:rFonts w:ascii="Roboto" w:cs="Roboto" w:eastAsia="Roboto" w:hAnsi="Roboto"/>
          <w:i w:val="1"/>
          <w:iCs w:val="1"/>
          <w:sz w:val="24"/>
          <w:szCs w:val="24"/>
          <w:rtl w:val="0"/>
        </w:rPr>
        <w:t xml:space="preserve">In re Tesla, Inc. Derivative Litigation</w:t>
      </w:r>
      <w:r w:rsidDel="00000000" w:rsidR="00000000" w:rsidRPr="00000000">
        <w:rPr>
          <w:rFonts w:ascii="Arial Unicode MS" w:cs="Arial Unicode MS" w:eastAsia="Arial Unicode MS" w:hAnsi="Arial Unicode MS"/>
          <w:sz w:val="24"/>
          <w:szCs w:val="24"/>
          <w:rtl w:val="0"/>
        </w:rPr>
        <w:t xml:space="preserve"> (December 2025) clarifies standards for equitable remedies, controlling shareholder doctrine, and board independence</w:t>
        <w:br w:type="textWrapping"/>
        <w:t xml:space="preserve">✅ Data-rich: Extensive court documents, proxy statements, shareholder letters, and expert commentary available</w:t>
        <w:br w:type="textWrapping"/>
        <w:t xml:space="preserve">✅ High student engagement: Elon Musk is globally recognized; students have strong priors, enabling passionate debate</w:t>
        <w:br w:type="textWrapping"/>
        <w:t xml:space="preserve">✅ Post-COVID relevance: The case illustrates how crisis periods can entrench CEO power while testing governance structures</w:t>
        <w:br w:type="textWrapping"/>
        <w:t xml:space="preserve">✅ Generalizable: Lessons apply to all founder-led companies (Airbnb, SpaceX, Block, etc.)</w:t>
        <w:br w:type="textWrapping"/>
        <w:t xml:space="preserve">✅ Live case: As of January 2026, implications of the December 2025 ruling continue to unfold</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Roboto" w:cs="Roboto" w:eastAsia="Roboto" w:hAnsi="Roboto"/>
          <w:b w:val="1"/>
          <w:bCs w:val="1"/>
          <w:sz w:val="34"/>
          <w:szCs w:val="34"/>
        </w:rPr>
      </w:pPr>
      <w:bookmarkStart w:colFirst="0" w:colLast="0" w:name="_rptqfnsxcphu" w:id="13"/>
      <w:bookmarkEnd w:id="13"/>
      <w:r w:rsidDel="00000000" w:rsidR="00000000" w:rsidRPr="00000000">
        <w:rPr>
          <w:rFonts w:ascii="Roboto" w:cs="Roboto" w:eastAsia="Roboto" w:hAnsi="Roboto"/>
          <w:b w:val="1"/>
          <w:bCs w:val="1"/>
          <w:sz w:val="34"/>
          <w:szCs w:val="34"/>
          <w:rtl w:val="0"/>
        </w:rPr>
        <w:t xml:space="preserve">SECTION 6: POTENTIAL DATA SOURCES</w:t>
      </w:r>
    </w:p>
    <w:p w:rsidR="00000000" w:rsidDel="00000000" w:rsidP="00000000" w:rsidRDefault="00000000" w:rsidRPr="00000000" w14:paraId="00000068">
      <w:pPr>
        <w:pStyle w:val="Heading2"/>
        <w:keepNext w:val="0"/>
        <w:keepLines w:val="0"/>
        <w:spacing w:after="80" w:lineRule="auto"/>
        <w:rPr>
          <w:rFonts w:ascii="Roboto" w:cs="Roboto" w:eastAsia="Roboto" w:hAnsi="Roboto"/>
          <w:b w:val="1"/>
          <w:bCs w:val="1"/>
          <w:sz w:val="34"/>
          <w:szCs w:val="34"/>
        </w:rPr>
      </w:pPr>
      <w:bookmarkStart w:colFirst="0" w:colLast="0" w:name="_rc6ebx8ayryi" w:id="14"/>
      <w:bookmarkEnd w:id="14"/>
      <w:r w:rsidDel="00000000" w:rsidR="00000000" w:rsidRPr="00000000">
        <w:rPr>
          <w:rFonts w:ascii="Roboto" w:cs="Roboto" w:eastAsia="Roboto" w:hAnsi="Roboto"/>
          <w:b w:val="1"/>
          <w:bCs w:val="1"/>
          <w:sz w:val="34"/>
          <w:szCs w:val="34"/>
          <w:rtl w:val="0"/>
        </w:rPr>
        <w:t xml:space="preserve">Primary &amp; Secondary Sources (All Public)</w:t>
      </w:r>
    </w:p>
    <w:tbl>
      <w:tblPr>
        <w:tblStyle w:val="Table1"/>
        <w:tblW w:w="9359.999999999998" w:type="dxa"/>
        <w:jc w:val="left"/>
        <w:tblBorders>
          <w:top w:color="000000" w:space="0" w:sz="4" w:val="single"/>
          <w:left w:color="000000" w:space="0" w:sz="4" w:val="single"/>
          <w:bottom w:color="000000" w:space="0" w:sz="0" w:val="nil"/>
          <w:right w:color="000000" w:space="0" w:sz="0" w:val="nil"/>
          <w:insideH w:color="000000" w:space="0" w:sz="4" w:val="single"/>
          <w:insideV w:color="000000" w:space="0" w:sz="4" w:val="single"/>
        </w:tblBorders>
        <w:tblLayout w:type="fixed"/>
        <w:tblLook w:val="0600"/>
      </w:tblPr>
      <w:tblGrid>
        <w:gridCol w:w="1440"/>
        <w:gridCol w:w="4534.736842105263"/>
        <w:gridCol w:w="2425.2631578947367"/>
        <w:gridCol w:w="960"/>
        <w:tblGridChange w:id="0">
          <w:tblGrid>
            <w:gridCol w:w="1440"/>
            <w:gridCol w:w="4534.736842105263"/>
            <w:gridCol w:w="2425.2631578947367"/>
            <w:gridCol w:w="960"/>
          </w:tblGrid>
        </w:tblGridChange>
      </w:tblGrid>
      <w:tr>
        <w:trPr>
          <w:cantSplit w:val="0"/>
          <w:trHeight w:val="615"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Source Type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Specific Sources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Publisher/Authority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6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Access</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6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Court Opinions</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6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i w:val="1"/>
                <w:iCs w:val="1"/>
                <w:sz w:val="21"/>
                <w:szCs w:val="21"/>
                <w:rtl w:val="0"/>
              </w:rPr>
              <w:t xml:space="preserve">In re Tesla, Inc. Derivative Litigation</w:t>
            </w:r>
            <w:r w:rsidDel="00000000" w:rsidR="00000000" w:rsidRPr="00000000">
              <w:rPr>
                <w:rFonts w:ascii="Roboto" w:cs="Roboto" w:eastAsia="Roboto" w:hAnsi="Roboto"/>
                <w:sz w:val="21"/>
                <w:szCs w:val="21"/>
                <w:rtl w:val="0"/>
              </w:rPr>
              <w:t xml:space="preserve"> (Court of Chancery, Jan 30, 2024); Delaware Supreme Court opinion (Dec 19, 2025)</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6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Delaware Supreme Court</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Public record</w:t>
            </w:r>
          </w:p>
        </w:tc>
      </w:tr>
      <w:tr>
        <w:trPr>
          <w:cantSplit w:val="0"/>
          <w:trHeight w:val="975"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SEC Filings</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10-K (annual), DEF 14A (proxy statements 2018–2024)</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Tesla Investor Relations / SEC.gov</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Public</w:t>
            </w:r>
          </w:p>
        </w:tc>
      </w:tr>
      <w:tr>
        <w:trPr>
          <w:cantSplit w:val="0"/>
          <w:trHeight w:val="975"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Corporate Governance</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Board committee charters, governance guidelines, charter amendments (2024)</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Tesla Investor Relations</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Public</w:t>
            </w:r>
          </w:p>
        </w:tc>
      </w:tr>
      <w:tr>
        <w:trPr>
          <w:cantSplit w:val="0"/>
          <w:trHeight w:val="975"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Shareholder Records</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Shareholder meeting materials, voting results, activist proposals</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Tesla IR; Vote Tesla initiative</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Public</w:t>
            </w:r>
          </w:p>
        </w:tc>
      </w:tr>
      <w:tr>
        <w:trPr>
          <w:cantSplit w:val="0"/>
          <w:trHeight w:val="1335"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News &amp; Legal Analysis</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Reuters, Bloomberg Law, ProMarket (Harvard), Corporate Governance (Harvard Law), Fenwick, Hunton Andrews Kurth (law firm analysis)</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Financial &amp; legal press</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Public</w:t>
            </w:r>
          </w:p>
        </w:tc>
      </w:tr>
      <w:tr>
        <w:trPr>
          <w:cantSplit w:val="0"/>
          <w:trHeight w:val="975"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Academic Commentary</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Law review articles; Harvard Corporate Governance Forum; governance research</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Academic publishers</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Public</w:t>
            </w:r>
          </w:p>
        </w:tc>
      </w:tr>
      <w:tr>
        <w:trPr>
          <w:cantSplit w:val="0"/>
          <w:trHeight w:val="1335" w:hRule="atLeast"/>
          <w:tblHeader w:val="0"/>
        </w:trPr>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Exhibits &amp; Data</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Board composition; compensation history tables; market cap milestones; timeline of governance events</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Compiled from SEC filings &amp; court records</w:t>
            </w:r>
          </w:p>
        </w:tc>
        <w:tc>
          <w:tcPr>
            <w:tcBorders>
              <w:top w:color="000000" w:space="0" w:sz="0" w:val="nil"/>
              <w:left w:color="000000" w:space="0" w:sz="0" w:val="nil"/>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be created</w:t>
            </w:r>
          </w:p>
        </w:tc>
      </w:tr>
    </w:tbl>
    <w:p w:rsidR="00000000" w:rsidDel="00000000" w:rsidP="00000000" w:rsidRDefault="00000000" w:rsidRPr="00000000" w14:paraId="00000089">
      <w:pPr>
        <w:pStyle w:val="Heading2"/>
        <w:keepNext w:val="0"/>
        <w:keepLines w:val="0"/>
        <w:spacing w:after="80" w:lineRule="auto"/>
        <w:rPr>
          <w:rFonts w:ascii="Roboto" w:cs="Roboto" w:eastAsia="Roboto" w:hAnsi="Roboto"/>
          <w:b w:val="1"/>
          <w:bCs w:val="1"/>
          <w:sz w:val="34"/>
          <w:szCs w:val="34"/>
        </w:rPr>
      </w:pPr>
      <w:bookmarkStart w:colFirst="0" w:colLast="0" w:name="_27pw6m65o389" w:id="15"/>
      <w:bookmarkEnd w:id="15"/>
      <w:r w:rsidDel="00000000" w:rsidR="00000000" w:rsidRPr="00000000">
        <w:rPr>
          <w:rFonts w:ascii="Roboto" w:cs="Roboto" w:eastAsia="Roboto" w:hAnsi="Roboto"/>
          <w:b w:val="1"/>
          <w:bCs w:val="1"/>
          <w:sz w:val="34"/>
          <w:szCs w:val="34"/>
          <w:rtl w:val="0"/>
        </w:rPr>
        <w:t xml:space="preserve">Critical Data Points Verified:</w:t>
      </w:r>
    </w:p>
    <w:p w:rsidR="00000000" w:rsidDel="00000000" w:rsidP="00000000" w:rsidRDefault="00000000" w:rsidRPr="00000000" w14:paraId="0000008A">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Board composition (2024): 9 members; Musk (CEO) + Kimbal Musk (brother); 7 other directors</w:t>
      </w:r>
    </w:p>
    <w:p w:rsidR="00000000" w:rsidDel="00000000" w:rsidP="00000000" w:rsidRDefault="00000000" w:rsidRPr="00000000" w14:paraId="0000008B">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Director independence findings: Delaware court documented ties to Musk (business relationships, personal relationships, compensation dependency)</w:t>
      </w:r>
    </w:p>
    <w:p w:rsidR="00000000" w:rsidDel="00000000" w:rsidP="00000000" w:rsidRDefault="00000000" w:rsidRPr="00000000" w14:paraId="0000008C">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Compensation history: 2018 grant ($55.8B at grant valuation); vesting occurred 2020–2023; current status post-Dec 2025 ruling</w:t>
      </w:r>
    </w:p>
    <w:p w:rsidR="00000000" w:rsidDel="00000000" w:rsidP="00000000" w:rsidRDefault="00000000" w:rsidRPr="00000000" w14:paraId="0000008D">
      <w:pPr>
        <w:numPr>
          <w:ilvl w:val="0"/>
          <w:numId w:val="10"/>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Governance timeline:</w:t>
      </w:r>
    </w:p>
    <w:p w:rsidR="00000000" w:rsidDel="00000000" w:rsidP="00000000" w:rsidRDefault="00000000" w:rsidRPr="00000000" w14:paraId="0000008E">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2018: Plan approved by shareholders (73% approval)</w:t>
      </w:r>
    </w:p>
    <w:p w:rsidR="00000000" w:rsidDel="00000000" w:rsidP="00000000" w:rsidRDefault="00000000" w:rsidRPr="00000000" w14:paraId="0000008F">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2021: Shareholder derivative suit filed</w:t>
      </w:r>
    </w:p>
    <w:p w:rsidR="00000000" w:rsidDel="00000000" w:rsidP="00000000" w:rsidRDefault="00000000" w:rsidRPr="00000000" w14:paraId="00000090">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Jan 30, 2024: Court of Chancery rescission + $345M attorney fees</w:t>
      </w:r>
    </w:p>
    <w:p w:rsidR="00000000" w:rsidDel="00000000" w:rsidP="00000000" w:rsidRDefault="00000000" w:rsidRPr="00000000" w14:paraId="00000091">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Mid-2024: Shareholder governance votes (annual elections, voting reforms) approved</w:t>
      </w:r>
    </w:p>
    <w:p w:rsidR="00000000" w:rsidDel="00000000" w:rsidP="00000000" w:rsidRDefault="00000000" w:rsidRPr="00000000" w14:paraId="00000092">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Dec 2024: Shareholder vote to ratify original 2018 plan (post-trial); board reincorporation from Delaware to Texas</w:t>
      </w:r>
    </w:p>
    <w:p w:rsidR="00000000" w:rsidDel="00000000" w:rsidP="00000000" w:rsidRDefault="00000000" w:rsidRPr="00000000" w14:paraId="00000093">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Dec 19, 2025: Delaware Supreme Court overturned rescission; awarded $1 nominal damages; reduced fee award to ~$54M</w:t>
      </w:r>
    </w:p>
    <w:p w:rsidR="00000000" w:rsidDel="00000000" w:rsidP="00000000" w:rsidRDefault="00000000" w:rsidRPr="00000000" w14:paraId="00000094">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Legal precedent: Entire fairness standard; controlling shareholder doctrine; equitable remedies under Delaware law</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rFonts w:ascii="Roboto" w:cs="Roboto" w:eastAsia="Roboto" w:hAnsi="Roboto"/>
          <w:b w:val="1"/>
          <w:bCs w:val="1"/>
          <w:sz w:val="34"/>
          <w:szCs w:val="34"/>
        </w:rPr>
      </w:pPr>
      <w:bookmarkStart w:colFirst="0" w:colLast="0" w:name="_g6byz2hhsbug" w:id="16"/>
      <w:bookmarkEnd w:id="16"/>
      <w:r w:rsidDel="00000000" w:rsidR="00000000" w:rsidRPr="00000000">
        <w:rPr>
          <w:rFonts w:ascii="Roboto" w:cs="Roboto" w:eastAsia="Roboto" w:hAnsi="Roboto"/>
          <w:b w:val="1"/>
          <w:bCs w:val="1"/>
          <w:sz w:val="34"/>
          <w:szCs w:val="34"/>
          <w:rtl w:val="0"/>
        </w:rPr>
        <w:t xml:space="preserve">SECTION 7: ACCESSIBILITY &amp; PERMISSIONS</w:t>
      </w:r>
    </w:p>
    <w:p w:rsidR="00000000" w:rsidDel="00000000" w:rsidP="00000000" w:rsidRDefault="00000000" w:rsidRPr="00000000" w14:paraId="00000097">
      <w:pPr>
        <w:pStyle w:val="Heading2"/>
        <w:keepNext w:val="0"/>
        <w:keepLines w:val="0"/>
        <w:spacing w:after="80" w:lineRule="auto"/>
        <w:rPr>
          <w:rFonts w:ascii="Roboto" w:cs="Roboto" w:eastAsia="Roboto" w:hAnsi="Roboto"/>
          <w:b w:val="1"/>
          <w:bCs w:val="1"/>
          <w:sz w:val="34"/>
          <w:szCs w:val="34"/>
        </w:rPr>
      </w:pPr>
      <w:bookmarkStart w:colFirst="0" w:colLast="0" w:name="_eunikeja9fbn" w:id="17"/>
      <w:bookmarkEnd w:id="17"/>
      <w:r w:rsidDel="00000000" w:rsidR="00000000" w:rsidRPr="00000000">
        <w:rPr>
          <w:rFonts w:ascii="Arial Unicode MS" w:cs="Arial Unicode MS" w:eastAsia="Arial Unicode MS" w:hAnsi="Arial Unicode MS"/>
          <w:b w:val="1"/>
          <w:bCs w:val="1"/>
          <w:sz w:val="34"/>
          <w:szCs w:val="34"/>
          <w:rtl w:val="0"/>
        </w:rPr>
        <w:t xml:space="preserve">All Sources Are Public ✅</w:t>
      </w:r>
    </w:p>
    <w:p w:rsidR="00000000" w:rsidDel="00000000" w:rsidP="00000000" w:rsidRDefault="00000000" w:rsidRPr="00000000" w14:paraId="00000098">
      <w:pPr>
        <w:numPr>
          <w:ilvl w:val="0"/>
          <w:numId w:val="3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Delaware court opinions: public record</w:t>
      </w:r>
    </w:p>
    <w:p w:rsidR="00000000" w:rsidDel="00000000" w:rsidP="00000000" w:rsidRDefault="00000000" w:rsidRPr="00000000" w14:paraId="00000099">
      <w:pPr>
        <w:numPr>
          <w:ilvl w:val="0"/>
          <w:numId w:val="3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SEC filings: publicly available on SEC.gov and Tesla IR</w:t>
      </w:r>
    </w:p>
    <w:p w:rsidR="00000000" w:rsidDel="00000000" w:rsidP="00000000" w:rsidRDefault="00000000" w:rsidRPr="00000000" w14:paraId="0000009A">
      <w:pPr>
        <w:numPr>
          <w:ilvl w:val="0"/>
          <w:numId w:val="3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Shareholder materials: disclosed in proxy statements</w:t>
      </w:r>
    </w:p>
    <w:p w:rsidR="00000000" w:rsidDel="00000000" w:rsidP="00000000" w:rsidRDefault="00000000" w:rsidRPr="00000000" w14:paraId="0000009B">
      <w:pPr>
        <w:numPr>
          <w:ilvl w:val="0"/>
          <w:numId w:val="3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News coverage: published and publicly available</w:t>
      </w:r>
    </w:p>
    <w:p w:rsidR="00000000" w:rsidDel="00000000" w:rsidP="00000000" w:rsidRDefault="00000000" w:rsidRPr="00000000" w14:paraId="0000009C">
      <w:pPr>
        <w:numPr>
          <w:ilvl w:val="0"/>
          <w:numId w:val="3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No confidential internal data required</w:t>
      </w:r>
    </w:p>
    <w:p w:rsidR="00000000" w:rsidDel="00000000" w:rsidP="00000000" w:rsidRDefault="00000000" w:rsidRPr="00000000" w14:paraId="0000009D">
      <w:pPr>
        <w:numPr>
          <w:ilvl w:val="0"/>
          <w:numId w:val="3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No interviews or insider access needed</w:t>
      </w:r>
    </w:p>
    <w:p w:rsidR="00000000" w:rsidDel="00000000" w:rsidP="00000000" w:rsidRDefault="00000000" w:rsidRPr="00000000" w14:paraId="0000009E">
      <w:pPr>
        <w:numPr>
          <w:ilvl w:val="0"/>
          <w:numId w:val="3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No consent from Tesla, Musk, or directors needed</w:t>
      </w:r>
    </w:p>
    <w:p w:rsidR="00000000" w:rsidDel="00000000" w:rsidP="00000000" w:rsidRDefault="00000000" w:rsidRPr="00000000" w14:paraId="0000009F">
      <w:pPr>
        <w:pStyle w:val="Heading2"/>
        <w:keepNext w:val="0"/>
        <w:keepLines w:val="0"/>
        <w:spacing w:after="80" w:lineRule="auto"/>
        <w:rPr>
          <w:rFonts w:ascii="Roboto" w:cs="Roboto" w:eastAsia="Roboto" w:hAnsi="Roboto"/>
          <w:b w:val="1"/>
          <w:bCs w:val="1"/>
          <w:sz w:val="34"/>
          <w:szCs w:val="34"/>
        </w:rPr>
      </w:pPr>
      <w:bookmarkStart w:colFirst="0" w:colLast="0" w:name="_j8ut4ph7xw3y" w:id="18"/>
      <w:bookmarkEnd w:id="18"/>
      <w:r w:rsidDel="00000000" w:rsidR="00000000" w:rsidRPr="00000000">
        <w:rPr>
          <w:rFonts w:ascii="Arial Unicode MS" w:cs="Arial Unicode MS" w:eastAsia="Arial Unicode MS" w:hAnsi="Arial Unicode MS"/>
          <w:b w:val="1"/>
          <w:bCs w:val="1"/>
          <w:sz w:val="34"/>
          <w:szCs w:val="34"/>
          <w:rtl w:val="0"/>
        </w:rPr>
        <w:t xml:space="preserve">Ethical Guardrails ✅</w:t>
      </w:r>
    </w:p>
    <w:p w:rsidR="00000000" w:rsidDel="00000000" w:rsidP="00000000" w:rsidRDefault="00000000" w:rsidRPr="00000000" w14:paraId="000000A0">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All information from credible, public sources</w:t>
      </w:r>
    </w:p>
    <w:p w:rsidR="00000000" w:rsidDel="00000000" w:rsidP="00000000" w:rsidRDefault="00000000" w:rsidRPr="00000000" w14:paraId="000000A1">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Case focuses on governance processes and board decision-making, not personal attacks</w:t>
      </w:r>
    </w:p>
    <w:p w:rsidR="00000000" w:rsidDel="00000000" w:rsidP="00000000" w:rsidRDefault="00000000" w:rsidRPr="00000000" w14:paraId="000000A2">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Presents multiple stakeholder perspectives (board, shareholders, regulators, courts)</w:t>
      </w:r>
    </w:p>
    <w:p w:rsidR="00000000" w:rsidDel="00000000" w:rsidP="00000000" w:rsidRDefault="00000000" w:rsidRPr="00000000" w14:paraId="000000A3">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Factual claims backed by court documents, SEC filings, and reputable reporting</w:t>
      </w:r>
    </w:p>
    <w:p w:rsidR="00000000" w:rsidDel="00000000" w:rsidP="00000000" w:rsidRDefault="00000000" w:rsidRPr="00000000" w14:paraId="000000A4">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Balanced tone: acknowledges both Musk's strategic contributions and governance concerns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rFonts w:ascii="Roboto" w:cs="Roboto" w:eastAsia="Roboto" w:hAnsi="Roboto"/>
          <w:b w:val="1"/>
          <w:bCs w:val="1"/>
          <w:sz w:val="34"/>
          <w:szCs w:val="34"/>
        </w:rPr>
      </w:pPr>
      <w:bookmarkStart w:colFirst="0" w:colLast="0" w:name="_sl6lrv7zmfcy" w:id="19"/>
      <w:bookmarkEnd w:id="19"/>
      <w:r w:rsidDel="00000000" w:rsidR="00000000" w:rsidRPr="00000000">
        <w:rPr>
          <w:rFonts w:ascii="Roboto" w:cs="Roboto" w:eastAsia="Roboto" w:hAnsi="Roboto"/>
          <w:b w:val="1"/>
          <w:bCs w:val="1"/>
          <w:sz w:val="34"/>
          <w:szCs w:val="34"/>
          <w:rtl w:val="0"/>
        </w:rPr>
        <w:t xml:space="preserve">SECTION 8: TENTATIVE LEARNING OBJECTIVES (3 Points)</w:t>
      </w:r>
    </w:p>
    <w:p w:rsidR="00000000" w:rsidDel="00000000" w:rsidP="00000000" w:rsidRDefault="00000000" w:rsidRPr="00000000" w14:paraId="000000A7">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engaging with this case, students will:</w:t>
      </w:r>
    </w:p>
    <w:p w:rsidR="00000000" w:rsidDel="00000000" w:rsidP="00000000" w:rsidRDefault="00000000" w:rsidRPr="00000000" w14:paraId="000000A8">
      <w:pPr>
        <w:numPr>
          <w:ilvl w:val="0"/>
          <w:numId w:val="17"/>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Analyze Board Independence &amp; Governance Quality</w:t>
      </w:r>
    </w:p>
    <w:p w:rsidR="00000000" w:rsidDel="00000000" w:rsidP="00000000" w:rsidRDefault="00000000" w:rsidRPr="00000000" w14:paraId="000000A9">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Define director independence (in fact vs. in form) using Delaware law standards</w:t>
      </w:r>
    </w:p>
    <w:p w:rsidR="00000000" w:rsidDel="00000000" w:rsidP="00000000" w:rsidRDefault="00000000" w:rsidRPr="00000000" w14:paraId="000000AA">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Identify warning signs of compromised board oversight (e.g., wealth dependencies, personal ties, deference patterns)</w:t>
      </w:r>
    </w:p>
    <w:p w:rsidR="00000000" w:rsidDel="00000000" w:rsidP="00000000" w:rsidRDefault="00000000" w:rsidRPr="00000000" w14:paraId="000000AB">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Evaluate governance structures that strengthen independence in founder-led firms</w:t>
      </w:r>
    </w:p>
    <w:p w:rsidR="00000000" w:rsidDel="00000000" w:rsidP="00000000" w:rsidRDefault="00000000" w:rsidRPr="00000000" w14:paraId="000000AC">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i w:val="1"/>
          <w:iCs w:val="1"/>
          <w:sz w:val="24"/>
          <w:szCs w:val="24"/>
          <w:rtl w:val="0"/>
        </w:rPr>
        <w:t xml:space="preserve">Application:</w:t>
      </w:r>
      <w:r w:rsidDel="00000000" w:rsidR="00000000" w:rsidRPr="00000000">
        <w:rPr>
          <w:rFonts w:ascii="Roboto" w:cs="Roboto" w:eastAsia="Roboto" w:hAnsi="Roboto"/>
          <w:sz w:val="24"/>
          <w:szCs w:val="24"/>
          <w:rtl w:val="0"/>
        </w:rPr>
        <w:t xml:space="preserve"> Assess Tesla's board composition and propose governance reforms</w:t>
      </w:r>
    </w:p>
    <w:p w:rsidR="00000000" w:rsidDel="00000000" w:rsidP="00000000" w:rsidRDefault="00000000" w:rsidRPr="00000000" w14:paraId="000000AD">
      <w:pPr>
        <w:numPr>
          <w:ilvl w:val="0"/>
          <w:numId w:val="17"/>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Evaluate Executive Compensation in the Context of CEO Power &amp; Governance Risk</w:t>
      </w:r>
    </w:p>
    <w:p w:rsidR="00000000" w:rsidDel="00000000" w:rsidP="00000000" w:rsidRDefault="00000000" w:rsidRPr="00000000" w14:paraId="000000AE">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Understand legal standards (entire fairness test; process fairness requirements) applied to CEO compensation</w:t>
      </w:r>
    </w:p>
    <w:p w:rsidR="00000000" w:rsidDel="00000000" w:rsidP="00000000" w:rsidRDefault="00000000" w:rsidRPr="00000000" w14:paraId="000000AF">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Weigh tension between CEO retention/incentive needs and governance-driven limitations on pay</w:t>
      </w:r>
    </w:p>
    <w:p w:rsidR="00000000" w:rsidDel="00000000" w:rsidP="00000000" w:rsidRDefault="00000000" w:rsidRPr="00000000" w14:paraId="000000B0">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Assess disclosure adequacy and shareholder communication in compensation decisions</w:t>
      </w:r>
    </w:p>
    <w:p w:rsidR="00000000" w:rsidDel="00000000" w:rsidP="00000000" w:rsidRDefault="00000000" w:rsidRPr="00000000" w14:paraId="000000B1">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i w:val="1"/>
          <w:iCs w:val="1"/>
          <w:sz w:val="24"/>
          <w:szCs w:val="24"/>
          <w:rtl w:val="0"/>
        </w:rPr>
        <w:t xml:space="preserve">Application:</w:t>
      </w:r>
      <w:r w:rsidDel="00000000" w:rsidR="00000000" w:rsidRPr="00000000">
        <w:rPr>
          <w:rFonts w:ascii="Roboto" w:cs="Roboto" w:eastAsia="Roboto" w:hAnsi="Roboto"/>
          <w:sz w:val="24"/>
          <w:szCs w:val="24"/>
          <w:rtl w:val="0"/>
        </w:rPr>
        <w:t xml:space="preserve"> Design a compensation approval process that balances CEO retention with board independence and shareholder confidence</w:t>
      </w:r>
    </w:p>
    <w:p w:rsidR="00000000" w:rsidDel="00000000" w:rsidP="00000000" w:rsidRDefault="00000000" w:rsidRPr="00000000" w14:paraId="000000B2">
      <w:pPr>
        <w:numPr>
          <w:ilvl w:val="0"/>
          <w:numId w:val="17"/>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Develop Strategic Governance Recommendations for Founder-Led, High-Growth Companies</w:t>
      </w:r>
    </w:p>
    <w:p w:rsidR="00000000" w:rsidDel="00000000" w:rsidP="00000000" w:rsidRDefault="00000000" w:rsidRPr="00000000" w14:paraId="000000B3">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Recognize the unique challenges of governing visionary, dominant CEOs in fast-moving industries</w:t>
      </w:r>
    </w:p>
    <w:p w:rsidR="00000000" w:rsidDel="00000000" w:rsidP="00000000" w:rsidRDefault="00000000" w:rsidRPr="00000000" w14:paraId="000000B4">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Distinguish between incremental governance reforms (annual elections, voting changes) and structural changes (CEO-chair separation, term limits, board refreshment)</w:t>
      </w:r>
    </w:p>
    <w:p w:rsidR="00000000" w:rsidDel="00000000" w:rsidP="00000000" w:rsidRDefault="00000000" w:rsidRPr="00000000" w14:paraId="000000B5">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Consider stakeholder interests (shareholders, regulators, employees, CEO) in designing governance strategy</w:t>
      </w:r>
    </w:p>
    <w:p w:rsidR="00000000" w:rsidDel="00000000" w:rsidP="00000000" w:rsidRDefault="00000000" w:rsidRPr="00000000" w14:paraId="000000B6">
      <w:pPr>
        <w:numPr>
          <w:ilvl w:val="1"/>
          <w:numId w:val="17"/>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i w:val="1"/>
          <w:iCs w:val="1"/>
          <w:sz w:val="24"/>
          <w:szCs w:val="24"/>
          <w:rtl w:val="0"/>
        </w:rPr>
        <w:t xml:space="preserve">Application:</w:t>
      </w:r>
      <w:r w:rsidDel="00000000" w:rsidR="00000000" w:rsidRPr="00000000">
        <w:rPr>
          <w:rFonts w:ascii="Roboto" w:cs="Roboto" w:eastAsia="Roboto" w:hAnsi="Roboto"/>
          <w:sz w:val="24"/>
          <w:szCs w:val="24"/>
          <w:rtl w:val="0"/>
        </w:rPr>
        <w:t xml:space="preserve"> Propose a board governance strategy that preserves innovation culture while enhancing accountability and reducing concentration-of-power risk</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rFonts w:ascii="Roboto" w:cs="Roboto" w:eastAsia="Roboto" w:hAnsi="Roboto"/>
          <w:b w:val="1"/>
          <w:bCs w:val="1"/>
          <w:sz w:val="34"/>
          <w:szCs w:val="34"/>
        </w:rPr>
      </w:pPr>
      <w:bookmarkStart w:colFirst="0" w:colLast="0" w:name="_x1ss6px7o7je" w:id="20"/>
      <w:bookmarkEnd w:id="20"/>
      <w:r w:rsidDel="00000000" w:rsidR="00000000" w:rsidRPr="00000000">
        <w:rPr>
          <w:rFonts w:ascii="Roboto" w:cs="Roboto" w:eastAsia="Roboto" w:hAnsi="Roboto"/>
          <w:b w:val="1"/>
          <w:bCs w:val="1"/>
          <w:sz w:val="34"/>
          <w:szCs w:val="34"/>
          <w:rtl w:val="0"/>
        </w:rPr>
        <w:t xml:space="preserve">SECTION 9: KEYWORDS (5)</w:t>
      </w:r>
    </w:p>
    <w:p w:rsidR="00000000" w:rsidDel="00000000" w:rsidP="00000000" w:rsidRDefault="00000000" w:rsidRPr="00000000" w14:paraId="000000B9">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Corporate Governance – Board independence, fiduciary duty, oversight structures</w:t>
      </w:r>
    </w:p>
    <w:p w:rsidR="00000000" w:rsidDel="00000000" w:rsidP="00000000" w:rsidRDefault="00000000" w:rsidRPr="00000000" w14:paraId="000000BA">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Executive Compensation – CEO pay, performance metrics, disclosure, process fairness</w:t>
      </w:r>
    </w:p>
    <w:p w:rsidR="00000000" w:rsidDel="00000000" w:rsidP="00000000" w:rsidRDefault="00000000" w:rsidRPr="00000000" w14:paraId="000000BB">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Founder-Led Leadership – CEO control, concentration of power, visionary leadership</w:t>
      </w:r>
    </w:p>
    <w:p w:rsidR="00000000" w:rsidDel="00000000" w:rsidP="00000000" w:rsidRDefault="00000000" w:rsidRPr="00000000" w14:paraId="000000BC">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Delaware Corporate Law – Entire fairness standard, controlling shareholder doctrine, equitable remedies</w:t>
      </w:r>
    </w:p>
    <w:p w:rsidR="00000000" w:rsidDel="00000000" w:rsidP="00000000" w:rsidRDefault="00000000" w:rsidRPr="00000000" w14:paraId="000000BD">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Organizational Leadership &amp; Risk – Power dynamics, board effectiveness, governance reform</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rFonts w:ascii="Roboto" w:cs="Roboto" w:eastAsia="Roboto" w:hAnsi="Roboto"/>
          <w:b w:val="1"/>
          <w:bCs w:val="1"/>
          <w:sz w:val="34"/>
          <w:szCs w:val="34"/>
        </w:rPr>
      </w:pPr>
      <w:bookmarkStart w:colFirst="0" w:colLast="0" w:name="_pbd9ipfj0s2o" w:id="21"/>
      <w:bookmarkEnd w:id="21"/>
      <w:r w:rsidDel="00000000" w:rsidR="00000000" w:rsidRPr="00000000">
        <w:rPr>
          <w:rFonts w:ascii="Roboto" w:cs="Roboto" w:eastAsia="Roboto" w:hAnsi="Roboto"/>
          <w:b w:val="1"/>
          <w:bCs w:val="1"/>
          <w:sz w:val="34"/>
          <w:szCs w:val="34"/>
          <w:rtl w:val="0"/>
        </w:rPr>
        <w:t xml:space="preserve">SECTION 10: CASE SCOPE &amp; TIMELINE (Your Decisions)</w:t>
      </w:r>
    </w:p>
    <w:p w:rsidR="00000000" w:rsidDel="00000000" w:rsidP="00000000" w:rsidRDefault="00000000" w:rsidRPr="00000000" w14:paraId="000000C0">
      <w:pPr>
        <w:pStyle w:val="Heading2"/>
        <w:keepNext w:val="0"/>
        <w:keepLines w:val="0"/>
        <w:spacing w:after="80" w:lineRule="auto"/>
        <w:rPr>
          <w:rFonts w:ascii="Roboto" w:cs="Roboto" w:eastAsia="Roboto" w:hAnsi="Roboto"/>
          <w:b w:val="1"/>
          <w:bCs w:val="1"/>
          <w:sz w:val="34"/>
          <w:szCs w:val="34"/>
        </w:rPr>
      </w:pPr>
      <w:bookmarkStart w:colFirst="0" w:colLast="0" w:name="_xb2x9ycknjcb" w:id="22"/>
      <w:bookmarkEnd w:id="22"/>
      <w:r w:rsidDel="00000000" w:rsidR="00000000" w:rsidRPr="00000000">
        <w:rPr>
          <w:rFonts w:ascii="Roboto" w:cs="Roboto" w:eastAsia="Roboto" w:hAnsi="Roboto"/>
          <w:b w:val="1"/>
          <w:bCs w:val="1"/>
          <w:sz w:val="34"/>
          <w:szCs w:val="34"/>
          <w:rtl w:val="0"/>
        </w:rPr>
        <w:t xml:space="preserve">Scope Finalized:</w:t>
      </w:r>
    </w:p>
    <w:p w:rsidR="00000000" w:rsidDel="00000000" w:rsidP="00000000" w:rsidRDefault="00000000" w:rsidRPr="00000000" w14:paraId="000000C1">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Nova Mono" w:cs="Nova Mono" w:eastAsia="Nova Mono" w:hAnsi="Nova Mono"/>
          <w:sz w:val="24"/>
          <w:szCs w:val="24"/>
          <w:rtl w:val="0"/>
        </w:rPr>
        <w:t xml:space="preserve">Time period: 2018 (compensation plan approval) → December 2024 (shareholder governance votes, reincorporation)</w:t>
      </w:r>
    </w:p>
    <w:p w:rsidR="00000000" w:rsidDel="00000000" w:rsidP="00000000" w:rsidRDefault="00000000" w:rsidRPr="00000000" w14:paraId="000000C2">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Thematic focus: The board's multi-year governance journey while managing a concentrated-power CEO</w:t>
      </w:r>
    </w:p>
    <w:p w:rsidR="00000000" w:rsidDel="00000000" w:rsidP="00000000" w:rsidRDefault="00000000" w:rsidRPr="00000000" w14:paraId="000000C3">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Pre-COVID vs Post-COVID lens: Will analyze how crisis periods (2020–2021) changed board dynamics, shareholder expectations, and CEO influence</w:t>
      </w:r>
    </w:p>
    <w:p w:rsidR="00000000" w:rsidDel="00000000" w:rsidP="00000000" w:rsidRDefault="00000000" w:rsidRPr="00000000" w14:paraId="000000C4">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Central question: What is the board's role in a one-man-controlled company?</w:t>
      </w:r>
    </w:p>
    <w:p w:rsidR="00000000" w:rsidDel="00000000" w:rsidP="00000000" w:rsidRDefault="00000000" w:rsidRPr="00000000" w14:paraId="000000C5">
      <w:pPr>
        <w:pStyle w:val="Heading2"/>
        <w:keepNext w:val="0"/>
        <w:keepLines w:val="0"/>
        <w:spacing w:after="80" w:lineRule="auto"/>
        <w:rPr>
          <w:rFonts w:ascii="Roboto" w:cs="Roboto" w:eastAsia="Roboto" w:hAnsi="Roboto"/>
          <w:b w:val="1"/>
          <w:bCs w:val="1"/>
          <w:sz w:val="34"/>
          <w:szCs w:val="34"/>
        </w:rPr>
      </w:pPr>
      <w:bookmarkStart w:colFirst="0" w:colLast="0" w:name="_8pn54wr2iz3d" w:id="23"/>
      <w:bookmarkEnd w:id="23"/>
      <w:r w:rsidDel="00000000" w:rsidR="00000000" w:rsidRPr="00000000">
        <w:rPr>
          <w:rFonts w:ascii="Roboto" w:cs="Roboto" w:eastAsia="Roboto" w:hAnsi="Roboto"/>
          <w:b w:val="1"/>
          <w:bCs w:val="1"/>
          <w:sz w:val="34"/>
          <w:szCs w:val="34"/>
          <w:rtl w:val="0"/>
        </w:rPr>
        <w:t xml:space="preserve">Closing Decision Point (Recommended):</w:t>
      </w:r>
    </w:p>
    <w:p w:rsidR="00000000" w:rsidDel="00000000" w:rsidP="00000000" w:rsidRDefault="00000000" w:rsidRPr="00000000" w14:paraId="000000C6">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Case ends: Late 2024 (after shareholder votes on governance reforms, post-court developments)</w:t>
      </w:r>
    </w:p>
    <w:p w:rsidR="00000000" w:rsidDel="00000000" w:rsidP="00000000" w:rsidRDefault="00000000" w:rsidRPr="00000000" w14:paraId="000000C7">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Teaching dilemma: The board has made incremental governance reforms; students debate: Are these sufficient? What structural changes are needed? How should the board respond to concentrated CEO power?</w:t>
      </w:r>
    </w:p>
    <w:p w:rsidR="00000000" w:rsidDel="00000000" w:rsidP="00000000" w:rsidRDefault="00000000" w:rsidRPr="00000000" w14:paraId="000000C8">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Postscript note: December 2025 Delaware Supreme Court decision (remedy ruling) is included as a brief postscript so the case is current but does not predetermine student analysis</w:t>
      </w:r>
    </w:p>
    <w:p w:rsidR="00000000" w:rsidDel="00000000" w:rsidP="00000000" w:rsidRDefault="00000000" w:rsidRPr="00000000" w14:paraId="000000C9">
      <w:pPr>
        <w:pStyle w:val="Heading2"/>
        <w:keepNext w:val="0"/>
        <w:keepLines w:val="0"/>
        <w:spacing w:after="80" w:lineRule="auto"/>
        <w:rPr>
          <w:rFonts w:ascii="Roboto" w:cs="Roboto" w:eastAsia="Roboto" w:hAnsi="Roboto"/>
          <w:b w:val="1"/>
          <w:bCs w:val="1"/>
          <w:sz w:val="34"/>
          <w:szCs w:val="34"/>
        </w:rPr>
      </w:pPr>
      <w:bookmarkStart w:colFirst="0" w:colLast="0" w:name="_hikbbmlbebxg" w:id="24"/>
      <w:bookmarkEnd w:id="24"/>
      <w:r w:rsidDel="00000000" w:rsidR="00000000" w:rsidRPr="00000000">
        <w:rPr>
          <w:rFonts w:ascii="Roboto" w:cs="Roboto" w:eastAsia="Roboto" w:hAnsi="Roboto"/>
          <w:b w:val="1"/>
          <w:bCs w:val="1"/>
          <w:sz w:val="34"/>
          <w:szCs w:val="34"/>
          <w:rtl w:val="0"/>
        </w:rPr>
        <w:t xml:space="preserve">Tone (Confirmed):</w:t>
      </w:r>
    </w:p>
    <w:p w:rsidR="00000000" w:rsidDel="00000000" w:rsidP="00000000" w:rsidRDefault="00000000" w:rsidRPr="00000000" w14:paraId="000000CA">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Balanced: Present Musk's value creation (COVID-era growth, market expansion, energy storage pivot, technology innovation) AND legitimate governance concerns (independence questions, process fairness, disclosure issues)</w:t>
      </w:r>
    </w:p>
    <w:p w:rsidR="00000000" w:rsidDel="00000000" w:rsidP="00000000" w:rsidRDefault="00000000" w:rsidRPr="00000000" w14:paraId="000000CB">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Evidence-led: Let court documents, proxy statements, and credible reporting speak; avoid editorial language</w:t>
      </w:r>
    </w:p>
    <w:p w:rsidR="00000000" w:rsidDel="00000000" w:rsidP="00000000" w:rsidRDefault="00000000" w:rsidRPr="00000000" w14:paraId="000000CC">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Multiple perspectives: Include voices of board members, shareholders, regulators, and legal experts</w:t>
      </w:r>
    </w:p>
    <w:p w:rsidR="00000000" w:rsidDel="00000000" w:rsidP="00000000" w:rsidRDefault="00000000" w:rsidRPr="00000000" w14:paraId="000000CD">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No predetermined "answer": Case presents dilemmas for students to analyze and debate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rFonts w:ascii="Roboto" w:cs="Roboto" w:eastAsia="Roboto" w:hAnsi="Roboto"/>
          <w:b w:val="1"/>
          <w:bCs w:val="1"/>
          <w:sz w:val="34"/>
          <w:szCs w:val="34"/>
        </w:rPr>
      </w:pPr>
      <w:bookmarkStart w:colFirst="0" w:colLast="0" w:name="_wqsvb9mwuk0u" w:id="25"/>
      <w:bookmarkEnd w:id="25"/>
      <w:r w:rsidDel="00000000" w:rsidR="00000000" w:rsidRPr="00000000">
        <w:rPr>
          <w:rFonts w:ascii="Roboto" w:cs="Roboto" w:eastAsia="Roboto" w:hAnsi="Roboto"/>
          <w:b w:val="1"/>
          <w:bCs w:val="1"/>
          <w:sz w:val="34"/>
          <w:szCs w:val="34"/>
          <w:rtl w:val="0"/>
        </w:rPr>
        <w:t xml:space="preserve">SECTION 11: NEXT STEPS FOR YOU (APPROVAL CHECKLIST)</w:t>
      </w:r>
    </w:p>
    <w:p w:rsidR="00000000" w:rsidDel="00000000" w:rsidP="00000000" w:rsidRDefault="00000000" w:rsidRPr="00000000" w14:paraId="000000D0">
      <w:pPr>
        <w:pStyle w:val="Heading2"/>
        <w:keepNext w:val="0"/>
        <w:keepLines w:val="0"/>
        <w:spacing w:after="80" w:lineRule="auto"/>
        <w:rPr>
          <w:rFonts w:ascii="Roboto" w:cs="Roboto" w:eastAsia="Roboto" w:hAnsi="Roboto"/>
          <w:b w:val="1"/>
          <w:bCs w:val="1"/>
          <w:sz w:val="34"/>
          <w:szCs w:val="34"/>
        </w:rPr>
      </w:pPr>
      <w:bookmarkStart w:colFirst="0" w:colLast="0" w:name="_wrvcl6v1wwyz" w:id="26"/>
      <w:bookmarkEnd w:id="26"/>
      <w:r w:rsidDel="00000000" w:rsidR="00000000" w:rsidRPr="00000000">
        <w:rPr>
          <w:rFonts w:ascii="Roboto" w:cs="Roboto" w:eastAsia="Roboto" w:hAnsi="Roboto"/>
          <w:b w:val="1"/>
          <w:bCs w:val="1"/>
          <w:sz w:val="34"/>
          <w:szCs w:val="34"/>
          <w:rtl w:val="0"/>
        </w:rPr>
        <w:t xml:space="preserve">Review &amp; Confirm:</w:t>
      </w:r>
    </w:p>
    <w:p w:rsidR="00000000" w:rsidDel="00000000" w:rsidP="00000000" w:rsidRDefault="00000000" w:rsidRPr="00000000" w14:paraId="000000D1">
      <w:pPr>
        <w:spacing w:after="120" w:before="1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Title</w:t>
        <w:br w:type="textWrapping"/>
        <w:t xml:space="preserve">Does the title capture the core dilemma (governance of a one-man controlled company)?</w:t>
      </w:r>
    </w:p>
    <w:p w:rsidR="00000000" w:rsidDel="00000000" w:rsidP="00000000" w:rsidRDefault="00000000" w:rsidRPr="00000000" w14:paraId="000000D2">
      <w:pPr>
        <w:spacing w:after="12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Key Dilemmas</w:t>
        <w:br w:type="textWrapping"/>
        <w:t xml:space="preserve">Do the 5 dilemmas clearly reflect the 2018–2024 governance journey and pre- vs post-COVID shifts?</w:t>
      </w:r>
    </w:p>
    <w:p w:rsidR="00000000" w:rsidDel="00000000" w:rsidP="00000000" w:rsidRDefault="00000000" w:rsidRPr="00000000" w14:paraId="000000D3">
      <w:pPr>
        <w:spacing w:after="12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Scope</w:t>
        <w:br w:type="textWrapping"/>
        <w:t xml:space="preserve">Are you satisfied with the 2018–December 2024 timeframe + December 2025 postscript approach?</w:t>
      </w:r>
    </w:p>
    <w:p w:rsidR="00000000" w:rsidDel="00000000" w:rsidP="00000000" w:rsidRDefault="00000000" w:rsidRPr="00000000" w14:paraId="000000D4">
      <w:pPr>
        <w:spacing w:after="12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Tone Balance</w:t>
        <w:br w:type="textWrapping"/>
        <w:t xml:space="preserve">Is the framing sufficiently balanced (acknowledging Musk's contributions and governance concerns)?</w:t>
      </w:r>
    </w:p>
    <w:p w:rsidR="00000000" w:rsidDel="00000000" w:rsidP="00000000" w:rsidRDefault="00000000" w:rsidRPr="00000000" w14:paraId="000000D5">
      <w:pPr>
        <w:spacing w:after="12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Data Confidence</w:t>
        <w:br w:type="textWrapping"/>
        <w:t xml:space="preserve">Are you confident we have all information needed from public sources?</w:t>
      </w:r>
    </w:p>
    <w:p w:rsidR="00000000" w:rsidDel="00000000" w:rsidP="00000000" w:rsidRDefault="00000000" w:rsidRPr="00000000" w14:paraId="000000D6">
      <w:pPr>
        <w:spacing w:after="12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Learning Objectives</w:t>
        <w:br w:type="textWrapping"/>
        <w:t xml:space="preserve">Do the 3 objectives align with your course goals?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rFonts w:ascii="Roboto" w:cs="Roboto" w:eastAsia="Roboto" w:hAnsi="Roboto"/>
          <w:b w:val="1"/>
          <w:bCs w:val="1"/>
          <w:sz w:val="34"/>
          <w:szCs w:val="34"/>
        </w:rPr>
      </w:pPr>
      <w:bookmarkStart w:colFirst="0" w:colLast="0" w:name="_a35ajo4jehx2" w:id="27"/>
      <w:bookmarkEnd w:id="27"/>
      <w:r w:rsidDel="00000000" w:rsidR="00000000" w:rsidRPr="00000000">
        <w:rPr>
          <w:rFonts w:ascii="Roboto" w:cs="Roboto" w:eastAsia="Roboto" w:hAnsi="Roboto"/>
          <w:b w:val="1"/>
          <w:bCs w:val="1"/>
          <w:sz w:val="34"/>
          <w:szCs w:val="34"/>
          <w:rtl w:val="0"/>
        </w:rPr>
        <w:t xml:space="preserve">SECTION 12: CRITICAL ACCURACY NOTE</w:t>
      </w:r>
    </w:p>
    <w:p w:rsidR="00000000" w:rsidDel="00000000" w:rsidP="00000000" w:rsidRDefault="00000000" w:rsidRPr="00000000" w14:paraId="000000D9">
      <w:pPr>
        <w:pStyle w:val="Heading2"/>
        <w:keepNext w:val="0"/>
        <w:keepLines w:val="0"/>
        <w:spacing w:after="80" w:lineRule="auto"/>
        <w:rPr>
          <w:rFonts w:ascii="Roboto" w:cs="Roboto" w:eastAsia="Roboto" w:hAnsi="Roboto"/>
          <w:b w:val="1"/>
          <w:bCs w:val="1"/>
          <w:sz w:val="34"/>
          <w:szCs w:val="34"/>
        </w:rPr>
      </w:pPr>
      <w:bookmarkStart w:colFirst="0" w:colLast="0" w:name="_kky6g3qocdti" w:id="28"/>
      <w:bookmarkEnd w:id="28"/>
      <w:r w:rsidDel="00000000" w:rsidR="00000000" w:rsidRPr="00000000">
        <w:rPr>
          <w:rFonts w:ascii="Roboto" w:cs="Roboto" w:eastAsia="Roboto" w:hAnsi="Roboto"/>
          <w:b w:val="1"/>
          <w:bCs w:val="1"/>
          <w:sz w:val="34"/>
          <w:szCs w:val="34"/>
          <w:rtl w:val="0"/>
        </w:rPr>
        <w:t xml:space="preserve">December 2025 Delaware Supreme Court Ruling (Corrected):</w:t>
      </w:r>
    </w:p>
    <w:p w:rsidR="00000000" w:rsidDel="00000000" w:rsidP="00000000" w:rsidRDefault="00000000" w:rsidRPr="00000000" w14:paraId="000000DA">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December 19, 2025 Delaware Supreme Court decision in </w:t>
      </w:r>
      <w:r w:rsidDel="00000000" w:rsidR="00000000" w:rsidRPr="00000000">
        <w:rPr>
          <w:rFonts w:ascii="Roboto" w:cs="Roboto" w:eastAsia="Roboto" w:hAnsi="Roboto"/>
          <w:i w:val="1"/>
          <w:iCs w:val="1"/>
          <w:sz w:val="24"/>
          <w:szCs w:val="24"/>
          <w:rtl w:val="0"/>
        </w:rPr>
        <w:t xml:space="preserve">In re Tesla, Inc. Derivative Litigation</w:t>
      </w:r>
      <w:r w:rsidDel="00000000" w:rsidR="00000000" w:rsidRPr="00000000">
        <w:rPr>
          <w:rFonts w:ascii="Roboto" w:cs="Roboto" w:eastAsia="Roboto" w:hAnsi="Roboto"/>
          <w:sz w:val="24"/>
          <w:szCs w:val="24"/>
          <w:rtl w:val="0"/>
        </w:rPr>
        <w:t xml:space="preserve"> did NOT reinstate Musk's full compensation package as a victory for Musk. Instead:</w:t>
      </w:r>
    </w:p>
    <w:p w:rsidR="00000000" w:rsidDel="00000000" w:rsidP="00000000" w:rsidRDefault="00000000" w:rsidRPr="00000000" w14:paraId="000000DB">
      <w:pPr>
        <w:spacing w:after="12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What the court did:</w:t>
      </w:r>
    </w:p>
    <w:p w:rsidR="00000000" w:rsidDel="00000000" w:rsidP="00000000" w:rsidRDefault="00000000" w:rsidRPr="00000000" w14:paraId="000000DC">
      <w:pPr>
        <w:numPr>
          <w:ilvl w:val="0"/>
          <w:numId w:val="2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Rejected equitable rescission as the appropriate remedy, ruling that once all milestones are achieved and years of performance have occurred, rescission leaves the CEO uncompensated</w:t>
      </w:r>
    </w:p>
    <w:p w:rsidR="00000000" w:rsidDel="00000000" w:rsidP="00000000" w:rsidRDefault="00000000" w:rsidRPr="00000000" w14:paraId="000000DD">
      <w:pPr>
        <w:numPr>
          <w:ilvl w:val="0"/>
          <w:numId w:val="2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Awarded $1 in nominal damages (vs. zero damages)</w:t>
      </w:r>
    </w:p>
    <w:p w:rsidR="00000000" w:rsidDel="00000000" w:rsidP="00000000" w:rsidRDefault="00000000" w:rsidRPr="00000000" w14:paraId="000000DE">
      <w:pPr>
        <w:numPr>
          <w:ilvl w:val="0"/>
          <w:numId w:val="2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Reduced plaintiff's attorney fees to ~$54 million (vs. $345 million awarded by trial court)</w:t>
      </w:r>
    </w:p>
    <w:p w:rsidR="00000000" w:rsidDel="00000000" w:rsidP="00000000" w:rsidRDefault="00000000" w:rsidRPr="00000000" w14:paraId="000000DF">
      <w:pPr>
        <w:spacing w:after="120" w:before="1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What the court did NOT do:</w:t>
      </w:r>
    </w:p>
    <w:p w:rsidR="00000000" w:rsidDel="00000000" w:rsidP="00000000" w:rsidRDefault="00000000" w:rsidRPr="00000000" w14:paraId="000000E0">
      <w:pPr>
        <w:numPr>
          <w:ilvl w:val="0"/>
          <w:numId w:val="2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Did NOT reinstate the original compensation grant as "approved"</w:t>
      </w:r>
    </w:p>
    <w:p w:rsidR="00000000" w:rsidDel="00000000" w:rsidP="00000000" w:rsidRDefault="00000000" w:rsidRPr="00000000" w14:paraId="000000E1">
      <w:pPr>
        <w:numPr>
          <w:ilvl w:val="0"/>
          <w:numId w:val="2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Did NOT address the trial court's findings on board independence, process fairness, or disclosure deficiencies</w:t>
      </w:r>
    </w:p>
    <w:p w:rsidR="00000000" w:rsidDel="00000000" w:rsidP="00000000" w:rsidRDefault="00000000" w:rsidRPr="00000000" w14:paraId="000000E2">
      <w:pPr>
        <w:numPr>
          <w:ilvl w:val="0"/>
          <w:numId w:val="2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Did NOT validate the board's decision-making process</w:t>
      </w:r>
    </w:p>
    <w:p w:rsidR="00000000" w:rsidDel="00000000" w:rsidP="00000000" w:rsidRDefault="00000000" w:rsidRPr="00000000" w14:paraId="000000E3">
      <w:pPr>
        <w:numPr>
          <w:ilvl w:val="0"/>
          <w:numId w:val="2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Explicitly noted "varying views on the liability determination" among justices, leaving multiple governance questions unresolved</w:t>
      </w:r>
    </w:p>
    <w:p w:rsidR="00000000" w:rsidDel="00000000" w:rsidP="00000000" w:rsidRDefault="00000000" w:rsidRPr="00000000" w14:paraId="000000E4">
      <w:pPr>
        <w:spacing w:after="120" w:before="1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Implication for case teaching:</w:t>
      </w:r>
    </w:p>
    <w:p w:rsidR="00000000" w:rsidDel="00000000" w:rsidP="00000000" w:rsidRDefault="00000000" w:rsidRPr="00000000" w14:paraId="000000E5">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This is a remedy case, not a "liability reversal" case</w:t>
      </w:r>
    </w:p>
    <w:p w:rsidR="00000000" w:rsidDel="00000000" w:rsidP="00000000" w:rsidRDefault="00000000" w:rsidRPr="00000000" w14:paraId="000000E6">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underlying governance concerns (independence, fairness, disclosure) remain unaddressed by the appellate court</w:t>
      </w:r>
    </w:p>
    <w:p w:rsidR="00000000" w:rsidDel="00000000" w:rsidP="00000000" w:rsidRDefault="00000000" w:rsidRPr="00000000" w14:paraId="000000E7">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This makes the case EVEN MORE teachable: students can analyze whether nominal damages and fee reduction adequately address governance failures</w:t>
      </w:r>
    </w:p>
    <w:p w:rsidR="00000000" w:rsidDel="00000000" w:rsidP="00000000" w:rsidRDefault="00000000" w:rsidRPr="00000000" w14:paraId="000000E8">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ruling shows the high bar for extraordinary remedies, which is valuable Delaware law teaching</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rFonts w:ascii="Roboto" w:cs="Roboto" w:eastAsia="Roboto" w:hAnsi="Roboto"/>
          <w:b w:val="1"/>
          <w:bCs w:val="1"/>
          <w:sz w:val="34"/>
          <w:szCs w:val="34"/>
        </w:rPr>
      </w:pPr>
      <w:bookmarkStart w:colFirst="0" w:colLast="0" w:name="_tqw0ute8pwyv" w:id="29"/>
      <w:bookmarkEnd w:id="29"/>
      <w:r w:rsidDel="00000000" w:rsidR="00000000" w:rsidRPr="00000000">
        <w:rPr>
          <w:rFonts w:ascii="Roboto" w:cs="Roboto" w:eastAsia="Roboto" w:hAnsi="Roboto"/>
          <w:b w:val="1"/>
          <w:bCs w:val="1"/>
          <w:sz w:val="34"/>
          <w:szCs w:val="34"/>
          <w:rtl w:val="0"/>
        </w:rPr>
        <w:t xml:space="preserve">SECTION 13: WORK PLAN (Upon Your Approval)</w:t>
      </w:r>
    </w:p>
    <w:p w:rsidR="00000000" w:rsidDel="00000000" w:rsidP="00000000" w:rsidRDefault="00000000" w:rsidRPr="00000000" w14:paraId="000000EB">
      <w:pPr>
        <w:pStyle w:val="Heading2"/>
        <w:keepNext w:val="0"/>
        <w:keepLines w:val="0"/>
        <w:spacing w:after="80" w:lineRule="auto"/>
        <w:rPr>
          <w:rFonts w:ascii="Roboto" w:cs="Roboto" w:eastAsia="Roboto" w:hAnsi="Roboto"/>
          <w:b w:val="1"/>
          <w:bCs w:val="1"/>
          <w:sz w:val="34"/>
          <w:szCs w:val="34"/>
        </w:rPr>
      </w:pPr>
      <w:bookmarkStart w:colFirst="0" w:colLast="0" w:name="_7a742j2ex9si" w:id="30"/>
      <w:bookmarkEnd w:id="30"/>
      <w:r w:rsidDel="00000000" w:rsidR="00000000" w:rsidRPr="00000000">
        <w:rPr>
          <w:rFonts w:ascii="Roboto" w:cs="Roboto" w:eastAsia="Roboto" w:hAnsi="Roboto"/>
          <w:b w:val="1"/>
          <w:bCs w:val="1"/>
          <w:sz w:val="34"/>
          <w:szCs w:val="34"/>
          <w:rtl w:val="0"/>
        </w:rPr>
        <w:t xml:space="preserve">Phase 1: Deep Research (Weeks 1–2)</w:t>
      </w:r>
    </w:p>
    <w:p w:rsidR="00000000" w:rsidDel="00000000" w:rsidP="00000000" w:rsidRDefault="00000000" w:rsidRPr="00000000" w14:paraId="000000EC">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Extract verbatim quotes from court opinions, proxy statements, and testimony</w:t>
      </w:r>
    </w:p>
    <w:p w:rsidR="00000000" w:rsidDel="00000000" w:rsidP="00000000" w:rsidRDefault="00000000" w:rsidRPr="00000000" w14:paraId="000000ED">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Nova Mono" w:cs="Nova Mono" w:eastAsia="Nova Mono" w:hAnsi="Nova Mono"/>
          <w:sz w:val="24"/>
          <w:szCs w:val="24"/>
          <w:rtl w:val="0"/>
        </w:rPr>
        <w:t xml:space="preserve">Build detailed timeline: 2018 (approval) → 2024 (governance votes) → Dec 2025 (Supreme Court decision)</w:t>
      </w:r>
    </w:p>
    <w:p w:rsidR="00000000" w:rsidDel="00000000" w:rsidP="00000000" w:rsidRDefault="00000000" w:rsidRPr="00000000" w14:paraId="000000EE">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Compile board composition data, director bios, and independence analysis</w:t>
      </w:r>
    </w:p>
    <w:p w:rsidR="00000000" w:rsidDel="00000000" w:rsidP="00000000" w:rsidRDefault="00000000" w:rsidRPr="00000000" w14:paraId="000000EF">
      <w:pPr>
        <w:pStyle w:val="Heading2"/>
        <w:keepNext w:val="0"/>
        <w:keepLines w:val="0"/>
        <w:spacing w:after="80" w:lineRule="auto"/>
        <w:rPr>
          <w:rFonts w:ascii="Roboto" w:cs="Roboto" w:eastAsia="Roboto" w:hAnsi="Roboto"/>
          <w:b w:val="1"/>
          <w:bCs w:val="1"/>
          <w:sz w:val="34"/>
          <w:szCs w:val="34"/>
        </w:rPr>
      </w:pPr>
      <w:bookmarkStart w:colFirst="0" w:colLast="0" w:name="_ydpce5m0f038" w:id="31"/>
      <w:bookmarkEnd w:id="31"/>
      <w:r w:rsidDel="00000000" w:rsidR="00000000" w:rsidRPr="00000000">
        <w:rPr>
          <w:rFonts w:ascii="Roboto" w:cs="Roboto" w:eastAsia="Roboto" w:hAnsi="Roboto"/>
          <w:b w:val="1"/>
          <w:bCs w:val="1"/>
          <w:sz w:val="34"/>
          <w:szCs w:val="34"/>
          <w:rtl w:val="0"/>
        </w:rPr>
        <w:t xml:space="preserve">Phase 2: Case Body Draft (Weeks 3–4)</w:t>
      </w:r>
    </w:p>
    <w:p w:rsidR="00000000" w:rsidDel="00000000" w:rsidP="00000000" w:rsidRDefault="00000000" w:rsidRPr="00000000" w14:paraId="000000F0">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Opening paragraph: Scene-setting (e.g., board meeting in late 2024, facing governance reform decision)</w:t>
      </w:r>
    </w:p>
    <w:p w:rsidR="00000000" w:rsidDel="00000000" w:rsidP="00000000" w:rsidRDefault="00000000" w:rsidRPr="00000000" w14:paraId="000000F1">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Company &amp; industry background: Tesla's history, COVID-era growth, market position</w:t>
      </w:r>
    </w:p>
    <w:p w:rsidR="00000000" w:rsidDel="00000000" w:rsidP="00000000" w:rsidRDefault="00000000" w:rsidRPr="00000000" w14:paraId="000000F2">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Governance context: Board structure, Musk's influence, early concerns</w:t>
      </w:r>
    </w:p>
    <w:p w:rsidR="00000000" w:rsidDel="00000000" w:rsidP="00000000" w:rsidRDefault="00000000" w:rsidRPr="00000000" w14:paraId="000000F3">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Nova Mono" w:cs="Nova Mono" w:eastAsia="Nova Mono" w:hAnsi="Nova Mono"/>
          <w:sz w:val="24"/>
          <w:szCs w:val="24"/>
          <w:rtl w:val="0"/>
        </w:rPr>
        <w:t xml:space="preserve">The compensation crisis: 2018 approval → 2021 lawsuit → 2024 court ruling</w:t>
      </w:r>
    </w:p>
    <w:p w:rsidR="00000000" w:rsidDel="00000000" w:rsidP="00000000" w:rsidRDefault="00000000" w:rsidRPr="00000000" w14:paraId="000000F4">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Board's response: Governance reforms, shareholder votes, reincorporation decision</w:t>
      </w:r>
    </w:p>
    <w:p w:rsidR="00000000" w:rsidDel="00000000" w:rsidP="00000000" w:rsidRDefault="00000000" w:rsidRPr="00000000" w14:paraId="000000F5">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dilemma: Multiple decision points where students analyze board choices</w:t>
      </w:r>
    </w:p>
    <w:p w:rsidR="00000000" w:rsidDel="00000000" w:rsidP="00000000" w:rsidRDefault="00000000" w:rsidRPr="00000000" w14:paraId="000000F6">
      <w:pPr>
        <w:pStyle w:val="Heading2"/>
        <w:keepNext w:val="0"/>
        <w:keepLines w:val="0"/>
        <w:spacing w:after="80" w:lineRule="auto"/>
        <w:rPr>
          <w:rFonts w:ascii="Roboto" w:cs="Roboto" w:eastAsia="Roboto" w:hAnsi="Roboto"/>
          <w:b w:val="1"/>
          <w:bCs w:val="1"/>
          <w:sz w:val="34"/>
          <w:szCs w:val="34"/>
        </w:rPr>
      </w:pPr>
      <w:bookmarkStart w:colFirst="0" w:colLast="0" w:name="_oogppolwzdm0" w:id="32"/>
      <w:bookmarkEnd w:id="32"/>
      <w:r w:rsidDel="00000000" w:rsidR="00000000" w:rsidRPr="00000000">
        <w:rPr>
          <w:rFonts w:ascii="Roboto" w:cs="Roboto" w:eastAsia="Roboto" w:hAnsi="Roboto"/>
          <w:b w:val="1"/>
          <w:bCs w:val="1"/>
          <w:sz w:val="34"/>
          <w:szCs w:val="34"/>
          <w:rtl w:val="0"/>
        </w:rPr>
        <w:t xml:space="preserve">Phase 3: Exhibits (Week 5)</w:t>
      </w:r>
    </w:p>
    <w:p w:rsidR="00000000" w:rsidDel="00000000" w:rsidP="00000000" w:rsidRDefault="00000000" w:rsidRPr="00000000" w14:paraId="000000F7">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Timeline visualization (2003–2025)</w:t>
      </w:r>
    </w:p>
    <w:p w:rsidR="00000000" w:rsidDel="00000000" w:rsidP="00000000" w:rsidRDefault="00000000" w:rsidRPr="00000000" w14:paraId="000000F8">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Board composition &amp; independence analysis</w:t>
      </w:r>
    </w:p>
    <w:p w:rsidR="00000000" w:rsidDel="00000000" w:rsidP="00000000" w:rsidRDefault="00000000" w:rsidRPr="00000000" w14:paraId="000000F9">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Compensation history &amp; milestones achieved</w:t>
      </w:r>
    </w:p>
    <w:p w:rsidR="00000000" w:rsidDel="00000000" w:rsidP="00000000" w:rsidRDefault="00000000" w:rsidRPr="00000000" w14:paraId="000000FA">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Director pay comparison (Tesla vs. industry peers)</w:t>
      </w:r>
    </w:p>
    <w:p w:rsidR="00000000" w:rsidDel="00000000" w:rsidP="00000000" w:rsidRDefault="00000000" w:rsidRPr="00000000" w14:paraId="000000FB">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Court opinion excerpts (key findings)</w:t>
      </w:r>
    </w:p>
    <w:p w:rsidR="00000000" w:rsidDel="00000000" w:rsidP="00000000" w:rsidRDefault="00000000" w:rsidRPr="00000000" w14:paraId="000000FC">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Shareholder activist proposals &amp; board responses</w:t>
      </w:r>
    </w:p>
    <w:p w:rsidR="00000000" w:rsidDel="00000000" w:rsidP="00000000" w:rsidRDefault="00000000" w:rsidRPr="00000000" w14:paraId="000000FD">
      <w:pPr>
        <w:pStyle w:val="Heading2"/>
        <w:keepNext w:val="0"/>
        <w:keepLines w:val="0"/>
        <w:spacing w:after="80" w:lineRule="auto"/>
        <w:rPr>
          <w:rFonts w:ascii="Roboto" w:cs="Roboto" w:eastAsia="Roboto" w:hAnsi="Roboto"/>
          <w:b w:val="1"/>
          <w:bCs w:val="1"/>
          <w:sz w:val="34"/>
          <w:szCs w:val="34"/>
        </w:rPr>
      </w:pPr>
      <w:bookmarkStart w:colFirst="0" w:colLast="0" w:name="_27467d952am8" w:id="33"/>
      <w:bookmarkEnd w:id="33"/>
      <w:r w:rsidDel="00000000" w:rsidR="00000000" w:rsidRPr="00000000">
        <w:rPr>
          <w:rFonts w:ascii="Roboto" w:cs="Roboto" w:eastAsia="Roboto" w:hAnsi="Roboto"/>
          <w:b w:val="1"/>
          <w:bCs w:val="1"/>
          <w:sz w:val="34"/>
          <w:szCs w:val="34"/>
          <w:rtl w:val="0"/>
        </w:rPr>
        <w:t xml:space="preserve">Phase 4: Teaching Note (Week 6)</w:t>
      </w:r>
    </w:p>
    <w:p w:rsidR="00000000" w:rsidDel="00000000" w:rsidP="00000000" w:rsidRDefault="00000000" w:rsidRPr="00000000" w14:paraId="000000FE">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Discussion questions &amp; teaching strategies</w:t>
      </w:r>
    </w:p>
    <w:p w:rsidR="00000000" w:rsidDel="00000000" w:rsidP="00000000" w:rsidRDefault="00000000" w:rsidRPr="00000000" w14:paraId="000000FF">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Case analysis framework</w:t>
      </w:r>
    </w:p>
    <w:p w:rsidR="00000000" w:rsidDel="00000000" w:rsidP="00000000" w:rsidRDefault="00000000" w:rsidRPr="00000000" w14:paraId="00000100">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Board decision criteria &amp; alternatives</w:t>
      </w:r>
    </w:p>
    <w:p w:rsidR="00000000" w:rsidDel="00000000" w:rsidP="00000000" w:rsidRDefault="00000000" w:rsidRPr="00000000" w14:paraId="00000101">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Real-world implications</w:t>
      </w:r>
    </w:p>
    <w:p w:rsidR="00000000" w:rsidDel="00000000" w:rsidP="00000000" w:rsidRDefault="00000000" w:rsidRPr="00000000" w14:paraId="00000102">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Extensions &amp; follow-ups</w:t>
      </w:r>
    </w:p>
    <w:p w:rsidR="00000000" w:rsidDel="00000000" w:rsidP="00000000" w:rsidRDefault="00000000" w:rsidRPr="00000000" w14:paraId="0000010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timeline: 6 weeks from approval to publication-ready case</w:t>
      </w:r>
    </w:p>
    <w:p w:rsidR="00000000" w:rsidDel="00000000" w:rsidP="00000000" w:rsidRDefault="00000000" w:rsidRPr="00000000" w14:paraId="000001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