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80"/>
      </w:pPr>
      <w:r>
        <w:rPr>
          <w:rFonts w:ascii="Arial" w:cs="Arial" w:eastAsia="Arial" w:hAnsi="Arial"/>
          <w:b/>
          <w:bCs/>
          <w:color w:val="1F4E79"/>
          <w:sz w:val="44"/>
          <w:szCs w:val="44"/>
        </w:rPr>
        <w:t xml:space="preserve">Telco Customer Churn Analysis</w:t>
      </w:r>
    </w:p>
    <w:p>
      <w:pPr>
        <w:spacing w:before="0" w:after="60"/>
      </w:pPr>
      <w:r>
        <w:rPr>
          <w:rFonts w:ascii="Arial" w:cs="Arial" w:eastAsia="Arial" w:hAnsi="Arial"/>
          <w:b/>
          <w:bCs/>
          <w:color w:val="2E75B6"/>
          <w:sz w:val="28"/>
          <w:szCs w:val="28"/>
        </w:rPr>
        <w:t xml:space="preserve">Executive Summary Report</w:t>
      </w:r>
    </w:p>
    <w:p>
      <w:pPr>
        <w:spacing w:before="0" w:after="320"/>
      </w:pPr>
      <w:r>
        <w:rPr>
          <w:rFonts w:ascii="Arial" w:cs="Arial" w:eastAsia="Arial" w:hAnsi="Arial"/>
          <w:i/>
          <w:iCs/>
          <w:color w:val="888888"/>
          <w:sz w:val="20"/>
          <w:szCs w:val="20"/>
        </w:rPr>
        <w:t xml:space="preserve">Dataset: 7,043 customers  |  21 features  |  Exploratory Data Analysis  |  March 2025</w:t>
      </w:r>
    </w:p>
    <w:p>
      <w:pPr>
        <w:pBdr>
          <w:bottom w:val="single" w:color="1F4E79" w:sz="6" w:space="1"/>
        </w:pBdr>
        <w:spacing w:before="120" w:after="120"/>
      </w:pPr>
    </w:p>
    <w:p>
      <w:pPr>
        <w:pStyle w:val="Heading2"/>
        <w:spacing w:before="320" w:after="120"/>
      </w:pPr>
      <w:r>
        <w:rPr>
          <w:rFonts w:ascii="Arial" w:cs="Arial" w:eastAsia="Arial" w:hAnsi="Arial"/>
          <w:b/>
          <w:bCs/>
          <w:color w:val="1F4E79"/>
          <w:sz w:val="28"/>
          <w:szCs w:val="28"/>
        </w:rPr>
        <w:t xml:space="preserve">1. Project Overview</w:t>
      </w:r>
    </w:p>
    <w:p>
      <w:pPr>
        <w:spacing w:before="80" w:after="80"/>
      </w:pPr>
      <w:r>
        <w:rPr>
          <w:rFonts w:ascii="Arial" w:cs="Arial" w:eastAsia="Arial" w:hAnsi="Arial"/>
          <w:color w:val="333333"/>
          <w:sz w:val="22"/>
          <w:szCs w:val="22"/>
        </w:rPr>
        <w:t xml:space="preserve">This report presents an exploratory data analysis (EDA) of a Telco customer churn dataset containing 7,043 customer records across 21 attributes including demographics, account details, and service subscriptions. The primary objective was to identify key drivers of customer churn and surface actionable insights to support retention strategy.</w:t>
      </w:r>
    </w:p>
    <w:p>
      <w:pPr>
        <w:spacing w:before="80" w:after="80"/>
      </w:pPr>
    </w:p>
    <w:p>
      <w:pPr>
        <w:spacing w:before="80" w:after="80"/>
      </w:pPr>
      <w:r>
        <w:rPr>
          <w:rFonts w:ascii="Arial" w:cs="Arial" w:eastAsia="Arial" w:hAnsi="Arial"/>
          <w:color w:val="333333"/>
          <w:sz w:val="22"/>
          <w:szCs w:val="22"/>
        </w:rPr>
        <w:t xml:space="preserve">Data preprocessing steps included:</w:t>
      </w:r>
    </w:p>
    <w:p>
      <w:pPr>
        <w:pStyle w:val="ListParagraph"/>
        <w:numPr>
          <w:ilvl w:val="0"/>
          <w:numId w:val="2"/>
        </w:numPr>
        <w:spacing w:before="60" w:after="60"/>
      </w:pPr>
      <w:r>
        <w:rPr>
          <w:rFonts w:ascii="Arial" w:cs="Arial" w:eastAsia="Arial" w:hAnsi="Arial"/>
          <w:color w:val="333333"/>
          <w:sz w:val="22"/>
          <w:szCs w:val="22"/>
        </w:rPr>
        <w:t xml:space="preserve">Replacing blank entries in TotalCharges (11 records with tenure = 0) with 0 and casting to float.</w:t>
      </w:r>
    </w:p>
    <w:p>
      <w:pPr>
        <w:pStyle w:val="ListParagraph"/>
        <w:numPr>
          <w:ilvl w:val="0"/>
          <w:numId w:val="2"/>
        </w:numPr>
        <w:spacing w:before="60" w:after="60"/>
      </w:pPr>
      <w:r>
        <w:rPr>
          <w:rFonts w:ascii="Arial" w:cs="Arial" w:eastAsia="Arial" w:hAnsi="Arial"/>
          <w:color w:val="333333"/>
          <w:sz w:val="22"/>
          <w:szCs w:val="22"/>
        </w:rPr>
        <w:t xml:space="preserve">Converting the SeniorCitizen column from binary (0/1) to readable labels (No/Yes).</w:t>
      </w:r>
    </w:p>
    <w:p>
      <w:pPr>
        <w:pStyle w:val="ListParagraph"/>
        <w:numPr>
          <w:ilvl w:val="0"/>
          <w:numId w:val="2"/>
        </w:numPr>
        <w:spacing w:before="60" w:after="60"/>
      </w:pPr>
      <w:r>
        <w:rPr>
          <w:rFonts w:ascii="Arial" w:cs="Arial" w:eastAsia="Arial" w:hAnsi="Arial"/>
          <w:color w:val="333333"/>
          <w:sz w:val="22"/>
          <w:szCs w:val="22"/>
        </w:rPr>
        <w:t xml:space="preserve">Confirmed zero null values and zero duplicate customerIDs after cleaning.</w:t>
      </w:r>
    </w:p>
    <w:p>
      <w:pPr>
        <w:pStyle w:val="Heading2"/>
        <w:spacing w:before="320" w:after="120"/>
      </w:pPr>
      <w:r>
        <w:rPr>
          <w:rFonts w:ascii="Arial" w:cs="Arial" w:eastAsia="Arial" w:hAnsi="Arial"/>
          <w:b/>
          <w:bCs/>
          <w:color w:val="1F4E79"/>
          <w:sz w:val="28"/>
          <w:szCs w:val="28"/>
        </w:rPr>
        <w:t xml:space="preserve">2. Key Metrics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Customers</w:t>
            </w:r>
          </w:p>
        </w:tc>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Churned Customers</w:t>
            </w:r>
          </w:p>
        </w:tc>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Retained Customers</w:t>
            </w:r>
          </w:p>
        </w:tc>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Rate</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7,043</w:t>
            </w:r>
          </w:p>
        </w:tc>
        <w:tc>
          <w:tcPr>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1,869</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5,174</w:t>
            </w:r>
          </w:p>
        </w:tc>
        <w:tc>
          <w:tcPr>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26.54%</w:t>
            </w:r>
          </w:p>
        </w:tc>
      </w:tr>
    </w:tbl>
    <w:p>
      <w:pPr>
        <w:spacing w:before="16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auto" w:w="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Monthly Charge</w:t>
            </w:r>
          </w:p>
        </w:tc>
        <w:tc>
          <w:tcPr>
            <w:tcW w:type="auto" w:w="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Tenure</w:t>
            </w:r>
          </w:p>
        </w:tc>
        <w:tc>
          <w:tcPr>
            <w:tcW w:type="auto" w:w="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Total Charges</w:t>
            </w:r>
          </w:p>
        </w:tc>
        <w:tc>
          <w:tcPr>
            <w:tcW w:type="auto" w:w="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Max Total Charges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$64.76</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32.4 months</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$2,279.73</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b/>
                <w:bCs/>
                <w:color w:val="333333"/>
                <w:sz w:val="20"/>
                <w:szCs w:val="20"/>
              </w:rPr>
              <w:t xml:space="preserve">$8,684.80</w:t>
            </w:r>
          </w:p>
        </w:tc>
      </w:tr>
    </w:tbl>
    <w:p>
      <w:pPr>
        <w:spacing w:before="120" w:after="80"/>
      </w:pPr>
    </w:p>
    <w:p>
      <w:pPr>
        <w:pStyle w:val="Heading2"/>
        <w:spacing w:before="320" w:after="120"/>
      </w:pPr>
      <w:r>
        <w:rPr>
          <w:rFonts w:ascii="Arial" w:cs="Arial" w:eastAsia="Arial" w:hAnsi="Arial"/>
          <w:b/>
          <w:bCs/>
          <w:color w:val="1F4E79"/>
          <w:sz w:val="28"/>
          <w:szCs w:val="28"/>
        </w:rPr>
        <w:t xml:space="preserve">3. Churn Distribution</w:t>
      </w:r>
    </w:p>
    <w:p>
      <w:pPr>
        <w:spacing w:before="80" w:after="80"/>
      </w:pPr>
      <w:r>
        <w:rPr>
          <w:rFonts w:ascii="Arial" w:cs="Arial" w:eastAsia="Arial" w:hAnsi="Arial"/>
          <w:color w:val="333333"/>
          <w:sz w:val="22"/>
          <w:szCs w:val="22"/>
        </w:rPr>
        <w:t xml:space="preserve">Of the 7,043 customers in the dataset, 1,869 (26.54%) have churned and 5,174 (73.46%) are retained. This represents a significant churn rate that warrants proactive intervention strategies.</w:t>
      </w:r>
    </w:p>
    <w:p>
      <w:pPr>
        <w:pStyle w:val="Heading2"/>
        <w:spacing w:before="320" w:after="120"/>
      </w:pPr>
      <w:r>
        <w:rPr>
          <w:rFonts w:ascii="Arial" w:cs="Arial" w:eastAsia="Arial" w:hAnsi="Arial"/>
          <w:b/>
          <w:bCs/>
          <w:color w:val="1F4E79"/>
          <w:sz w:val="28"/>
          <w:szCs w:val="28"/>
        </w:rPr>
        <w:t xml:space="preserve">4. Demographic Analysis</w:t>
      </w:r>
    </w:p>
    <w:p>
      <w:pPr>
        <w:spacing w:before="120" w:after="80"/>
      </w:pPr>
      <w:r>
        <w:rPr>
          <w:rFonts w:ascii="Arial" w:cs="Arial" w:eastAsia="Arial" w:hAnsi="Arial"/>
          <w:b/>
          <w:bCs/>
          <w:color w:val="2E75B6"/>
          <w:sz w:val="24"/>
          <w:szCs w:val="24"/>
        </w:rPr>
        <w:t xml:space="preserve">4.1 Gender</w:t>
      </w:r>
    </w:p>
    <w:p>
      <w:pPr>
        <w:spacing w:before="80" w:after="80"/>
      </w:pPr>
      <w:r>
        <w:rPr>
          <w:rFonts w:ascii="Arial" w:cs="Arial" w:eastAsia="Arial" w:hAnsi="Arial"/>
          <w:color w:val="333333"/>
          <w:sz w:val="22"/>
          <w:szCs w:val="22"/>
        </w:rPr>
        <w:t xml:space="preserve">The dataset is nearly balanced by gender with approximately 3,555 male and 3,488 female customers. Churn rates are comparable across both genders, indicating gender is not a significant standalone churn predictor. Male and female customers churn at roughly similar proportions (~26%).</w:t>
      </w:r>
    </w:p>
    <w:p>
      <w:pPr>
        <w:spacing w:before="120" w:after="80"/>
      </w:pPr>
      <w:r>
        <w:rPr>
          <w:rFonts w:ascii="Arial" w:cs="Arial" w:eastAsia="Arial" w:hAnsi="Arial"/>
          <w:b/>
          <w:bCs/>
          <w:color w:val="2E75B6"/>
          <w:sz w:val="24"/>
          <w:szCs w:val="24"/>
        </w:rPr>
        <w:t xml:space="preserve">4.2 Senior Citizen Status</w:t>
      </w:r>
    </w:p>
    <w:p>
      <w:pPr>
        <w:spacing w:before="80" w:after="80"/>
      </w:pPr>
      <w:r>
        <w:rPr>
          <w:rFonts w:ascii="Arial" w:cs="Arial" w:eastAsia="Arial" w:hAnsi="Arial"/>
          <w:color w:val="333333"/>
          <w:sz w:val="22"/>
          <w:szCs w:val="22"/>
        </w:rPr>
        <w:t xml:space="preserve">Senior citizens make up approximately 16.2% of the customer base (1,142 out of 7,043). However, the churn rate within the senior citizen segment is notably higher — roughly 41.7% of seniors churned compared to approximately 23.6% of non-senior customers. This demographic represents a disproportionate retention risk and may benefit from tailored support programs.</w:t>
      </w:r>
    </w:p>
    <w:p>
      <w:pPr>
        <w:spacing w:before="120" w:after="80"/>
      </w:pPr>
      <w:r>
        <w:rPr>
          <w:rFonts w:ascii="Arial" w:cs="Arial" w:eastAsia="Arial" w:hAnsi="Arial"/>
          <w:b/>
          <w:bCs/>
          <w:color w:val="2E75B6"/>
          <w:sz w:val="24"/>
          <w:szCs w:val="24"/>
        </w:rPr>
        <w:t xml:space="preserve">4.3 Tenure Distribution</w:t>
      </w:r>
    </w:p>
    <w:p>
      <w:pPr>
        <w:spacing w:before="80" w:after="80"/>
      </w:pPr>
      <w:r>
        <w:rPr>
          <w:rFonts w:ascii="Arial" w:cs="Arial" w:eastAsia="Arial" w:hAnsi="Arial"/>
          <w:color w:val="333333"/>
          <w:sz w:val="22"/>
          <w:szCs w:val="22"/>
        </w:rPr>
        <w:t xml:space="preserve">Tenure is one of the strongest indicators of churn behaviour. The histogram analysis revealed:</w:t>
      </w:r>
    </w:p>
    <w:p>
      <w:pPr>
        <w:pStyle w:val="ListParagraph"/>
        <w:numPr>
          <w:ilvl w:val="0"/>
          <w:numId w:val="2"/>
        </w:numPr>
        <w:spacing w:before="60" w:after="60"/>
      </w:pPr>
      <w:r>
        <w:rPr>
          <w:rFonts w:ascii="Arial" w:cs="Arial" w:eastAsia="Arial" w:hAnsi="Arial"/>
          <w:color w:val="333333"/>
          <w:sz w:val="22"/>
          <w:szCs w:val="22"/>
        </w:rPr>
        <w:t xml:space="preserve">Customers with 1-2 months of tenure show the highest concentration of churn. The earliest months represent the highest risk window.</w:t>
      </w:r>
    </w:p>
    <w:p>
      <w:pPr>
        <w:pStyle w:val="ListParagraph"/>
        <w:numPr>
          <w:ilvl w:val="0"/>
          <w:numId w:val="2"/>
        </w:numPr>
        <w:spacing w:before="60" w:after="60"/>
      </w:pPr>
      <w:r>
        <w:rPr>
          <w:rFonts w:ascii="Arial" w:cs="Arial" w:eastAsia="Arial" w:hAnsi="Arial"/>
          <w:color w:val="333333"/>
          <w:sz w:val="22"/>
          <w:szCs w:val="22"/>
        </w:rPr>
        <w:t xml:space="preserve">Customers with tenure of 3+ years (36+ months) show significantly lower churn, indicating strong loyalty among long-term subscribers.</w:t>
      </w:r>
    </w:p>
    <w:p>
      <w:pPr>
        <w:pStyle w:val="ListParagraph"/>
        <w:numPr>
          <w:ilvl w:val="0"/>
          <w:numId w:val="2"/>
        </w:numPr>
        <w:spacing w:before="60" w:after="60"/>
      </w:pPr>
      <w:r>
        <w:rPr>
          <w:rFonts w:ascii="Arial" w:cs="Arial" w:eastAsia="Arial" w:hAnsi="Arial"/>
          <w:color w:val="333333"/>
          <w:sz w:val="22"/>
          <w:szCs w:val="22"/>
        </w:rPr>
        <w:t xml:space="preserve">Average tenure across all customers is 32.4 months (median: 29 months).</w:t>
      </w:r>
    </w:p>
    <w:p>
      <w:pPr>
        <w:pStyle w:val="ListParagraph"/>
        <w:numPr>
          <w:ilvl w:val="0"/>
          <w:numId w:val="2"/>
        </w:numPr>
        <w:spacing w:before="60" w:after="60"/>
      </w:pPr>
      <w:r>
        <w:rPr>
          <w:rFonts w:ascii="Arial" w:cs="Arial" w:eastAsia="Arial" w:hAnsi="Arial"/>
          <w:color w:val="333333"/>
          <w:sz w:val="22"/>
          <w:szCs w:val="22"/>
        </w:rPr>
        <w:t xml:space="preserve">The 25th percentile tenure is only 9 months, highlighting that a large share of the base is still in early stages.</w:t>
      </w:r>
    </w:p>
    <w:p>
      <w:pPr>
        <w:pStyle w:val="Heading2"/>
        <w:spacing w:before="320" w:after="120"/>
      </w:pPr>
      <w:r>
        <w:rPr>
          <w:rFonts w:ascii="Arial" w:cs="Arial" w:eastAsia="Arial" w:hAnsi="Arial"/>
          <w:b/>
          <w:bCs/>
          <w:color w:val="1F4E79"/>
          <w:sz w:val="28"/>
          <w:szCs w:val="28"/>
        </w:rPr>
        <w:t xml:space="preserve">5. Contract Type and Billing Analysis</w:t>
      </w:r>
    </w:p>
    <w:p>
      <w:pPr>
        <w:spacing w:before="120" w:after="80"/>
      </w:pPr>
      <w:r>
        <w:rPr>
          <w:rFonts w:ascii="Arial" w:cs="Arial" w:eastAsia="Arial" w:hAnsi="Arial"/>
          <w:b/>
          <w:bCs/>
          <w:color w:val="2E75B6"/>
          <w:sz w:val="24"/>
          <w:szCs w:val="24"/>
        </w:rPr>
        <w:t xml:space="preserve">5.1 Contract Type</w:t>
      </w:r>
    </w:p>
    <w:p>
      <w:pPr>
        <w:spacing w:before="80" w:after="80"/>
      </w:pPr>
      <w:r>
        <w:rPr>
          <w:rFonts w:ascii="Arial" w:cs="Arial" w:eastAsia="Arial" w:hAnsi="Arial"/>
          <w:color w:val="333333"/>
          <w:sz w:val="22"/>
          <w:szCs w:val="22"/>
        </w:rPr>
        <w:t xml:space="preserve">Contract type is the single most influential churn variable identified in this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Contract Type</w:t>
            </w:r>
          </w:p>
        </w:tc>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 Count</w:t>
            </w:r>
          </w:p>
        </w:tc>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Risk</w:t>
            </w:r>
          </w:p>
        </w:tc>
      </w:tr>
      <w:tr>
        <w:tc>
          <w:tcPr>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Month-to-Month</w:t>
            </w:r>
          </w:p>
        </w:tc>
        <w:tc>
          <w:tcPr>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~3,875</w:t>
            </w:r>
          </w:p>
        </w:tc>
        <w:tc>
          <w:tcPr>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pPr>
              <w:jc w:val="left"/>
            </w:pPr>
            <w:r>
              <w:rPr>
                <w:rFonts w:ascii="Arial" w:cs="Arial" w:eastAsia="Arial" w:hAnsi="Arial"/>
                <w:b/>
                <w:bCs/>
                <w:color w:val="333333"/>
                <w:sz w:val="20"/>
                <w:szCs w:val="20"/>
              </w:rPr>
              <w:t xml:space="preserve">High (≈42%)</w:t>
            </w:r>
          </w:p>
        </w:tc>
      </w:tr>
      <w:tr>
        <w:tc>
          <w:tcPr>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One Year</w:t>
            </w:r>
          </w:p>
        </w:tc>
        <w:tc>
          <w:tcPr>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~1,473</w:t>
            </w:r>
          </w:p>
        </w:tc>
        <w:tc>
          <w:tcPr>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left"/>
            </w:pPr>
            <w:r>
              <w:rPr>
                <w:rFonts w:ascii="Arial" w:cs="Arial" w:eastAsia="Arial" w:hAnsi="Arial"/>
                <w:b/>
                <w:bCs/>
                <w:color w:val="333333"/>
                <w:sz w:val="20"/>
                <w:szCs w:val="20"/>
              </w:rPr>
              <w:t xml:space="preserve">Moderate (≈11%)</w:t>
            </w:r>
          </w:p>
        </w:tc>
      </w:tr>
      <w:tr>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Two Year</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~1,695</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333333"/>
                <w:sz w:val="20"/>
                <w:szCs w:val="20"/>
              </w:rPr>
              <w:t xml:space="preserve">Low (≈3%)</w:t>
            </w:r>
          </w:p>
        </w:tc>
      </w:tr>
    </w:tbl>
    <w:p>
      <w:pPr>
        <w:spacing w:before="160" w:after="80"/>
      </w:pPr>
    </w:p>
    <w:p>
      <w:pPr>
        <w:spacing w:before="80" w:after="80"/>
      </w:pPr>
      <w:r>
        <w:rPr>
          <w:rFonts w:ascii="Arial" w:cs="Arial" w:eastAsia="Arial" w:hAnsi="Arial"/>
          <w:color w:val="333333"/>
          <w:sz w:val="22"/>
          <w:szCs w:val="22"/>
        </w:rPr>
        <w:t xml:space="preserve">Month-to-month customers account for the vast majority of churn. Transitioning these customers to annual or two-year contracts is the highest-leverage retention action.</w:t>
      </w:r>
    </w:p>
    <w:p>
      <w:pPr>
        <w:spacing w:before="120" w:after="80"/>
      </w:pPr>
      <w:r>
        <w:rPr>
          <w:rFonts w:ascii="Arial" w:cs="Arial" w:eastAsia="Arial" w:hAnsi="Arial"/>
          <w:b/>
          <w:bCs/>
          <w:color w:val="2E75B6"/>
          <w:sz w:val="24"/>
          <w:szCs w:val="24"/>
        </w:rPr>
        <w:t xml:space="preserve">5.2 Payment Method</w:t>
      </w:r>
    </w:p>
    <w:p>
      <w:pPr>
        <w:spacing w:before="80" w:after="80"/>
      </w:pPr>
      <w:r>
        <w:rPr>
          <w:rFonts w:ascii="Arial" w:cs="Arial" w:eastAsia="Arial" w:hAnsi="Arial"/>
          <w:color w:val="333333"/>
          <w:sz w:val="22"/>
          <w:szCs w:val="22"/>
        </w:rPr>
        <w:t xml:space="preserve">Electronic check users exhibit the highest churn rate among all payment methods, significantly outpacing other methods. Automatic payment methods (bank transfer and credit card) correlate with lower churn, likely due to reduced friction in the payment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3150"/>
        <w:gridCol w:w="3150"/>
      </w:tblGrid>
      <w:tr>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Payment Method</w:t>
            </w:r>
          </w:p>
        </w:tc>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Approx. Customers</w:t>
            </w:r>
          </w:p>
        </w:tc>
        <w:tc>
          <w:tcPr>
            <w:tcW w:type="auto" w:w="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Risk Level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Electronic check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~2,365</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Highest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Mailed check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~1,612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Moderate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Bank transfer (auto)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~1,544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Lower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Credit card (auto)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~1,522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Lowest</w:t>
            </w:r>
          </w:p>
        </w:tc>
      </w:tr>
    </w:tbl>
    <w:p>
      <w:pPr>
        <w:spacing w:before="120" w:after="80"/>
      </w:pPr>
    </w:p>
    <w:p>
      <w:pPr>
        <w:spacing w:before="120" w:after="80"/>
      </w:pPr>
      <w:r>
        <w:rPr>
          <w:rFonts w:ascii="Arial" w:cs="Arial" w:eastAsia="Arial" w:hAnsi="Arial"/>
          <w:b/>
          <w:bCs/>
          <w:color w:val="2E75B6"/>
          <w:sz w:val="24"/>
          <w:szCs w:val="24"/>
        </w:rPr>
        <w:t xml:space="preserve">5.3 Paperless Billing</w:t>
      </w:r>
    </w:p>
    <w:p>
      <w:pPr>
        <w:spacing w:before="80" w:after="80"/>
      </w:pPr>
      <w:r>
        <w:rPr>
          <w:rFonts w:ascii="Arial" w:cs="Arial" w:eastAsia="Arial" w:hAnsi="Arial"/>
          <w:color w:val="333333"/>
          <w:sz w:val="22"/>
          <w:szCs w:val="22"/>
        </w:rPr>
        <w:t xml:space="preserve">Customers enrolled in paperless billing show a slightly elevated churn tendency compared to those receiving paper bills. This may reflect a correlation with digital-native customers who are more likely to research and switch to competitive offerings.</w:t>
      </w:r>
    </w:p>
    <w:p>
      <w:pPr>
        <w:pStyle w:val="Heading2"/>
        <w:spacing w:before="320" w:after="120"/>
      </w:pPr>
      <w:r>
        <w:rPr>
          <w:rFonts w:ascii="Arial" w:cs="Arial" w:eastAsia="Arial" w:hAnsi="Arial"/>
          <w:b/>
          <w:bCs/>
          <w:color w:val="1F4E79"/>
          <w:sz w:val="28"/>
          <w:szCs w:val="28"/>
        </w:rPr>
        <w:t xml:space="preserve">6. Service Subscription Analysis</w:t>
      </w:r>
    </w:p>
    <w:p>
      <w:pPr>
        <w:spacing w:before="80" w:after="80"/>
      </w:pPr>
      <w:r>
        <w:rPr>
          <w:rFonts w:ascii="Arial" w:cs="Arial" w:eastAsia="Arial" w:hAnsi="Arial"/>
          <w:color w:val="333333"/>
          <w:sz w:val="22"/>
          <w:szCs w:val="22"/>
        </w:rPr>
        <w:t xml:space="preserve">Analysis of 9 service dimensions revealed meaningful patterns between service adoption and churn. The 3x3 chart grid highlighted the following:</w:t>
      </w:r>
    </w:p>
    <w:p>
      <w:pPr>
        <w:spacing w:before="120" w:after="80"/>
      </w:pPr>
      <w:r>
        <w:rPr>
          <w:rFonts w:ascii="Arial" w:cs="Arial" w:eastAsia="Arial" w:hAnsi="Arial"/>
          <w:b/>
          <w:bCs/>
          <w:color w:val="2E75B6"/>
          <w:sz w:val="24"/>
          <w:szCs w:val="24"/>
        </w:rPr>
        <w:t xml:space="preserve">6.1 Internet Service Type</w:t>
      </w:r>
    </w:p>
    <w:p>
      <w:pPr>
        <w:pStyle w:val="ListParagraph"/>
        <w:numPr>
          <w:ilvl w:val="0"/>
          <w:numId w:val="2"/>
        </w:numPr>
        <w:spacing w:before="60" w:after="60"/>
      </w:pPr>
      <w:r>
        <w:rPr>
          <w:rFonts w:ascii="Arial" w:cs="Arial" w:eastAsia="Arial" w:hAnsi="Arial"/>
          <w:color w:val="333333"/>
          <w:sz w:val="22"/>
          <w:szCs w:val="22"/>
        </w:rPr>
        <w:t xml:space="preserve">Fiber optic customers have the highest churn rate of all internet service types — considerably higher than DSL customers. This may indicate pricing dissatisfaction or stronger competition in the fiber segment.</w:t>
      </w:r>
    </w:p>
    <w:p>
      <w:pPr>
        <w:pStyle w:val="ListParagraph"/>
        <w:numPr>
          <w:ilvl w:val="0"/>
          <w:numId w:val="2"/>
        </w:numPr>
        <w:spacing w:before="60" w:after="60"/>
      </w:pPr>
      <w:r>
        <w:rPr>
          <w:rFonts w:ascii="Arial" w:cs="Arial" w:eastAsia="Arial" w:hAnsi="Arial"/>
          <w:color w:val="333333"/>
          <w:sz w:val="22"/>
          <w:szCs w:val="22"/>
        </w:rPr>
        <w:t xml:space="preserve">DSL customers churn at a moderate rate.</w:t>
      </w:r>
    </w:p>
    <w:p>
      <w:pPr>
        <w:pStyle w:val="ListParagraph"/>
        <w:numPr>
          <w:ilvl w:val="0"/>
          <w:numId w:val="2"/>
        </w:numPr>
        <w:spacing w:before="60" w:after="60"/>
      </w:pPr>
      <w:r>
        <w:rPr>
          <w:rFonts w:ascii="Arial" w:cs="Arial" w:eastAsia="Arial" w:hAnsi="Arial"/>
          <w:color w:val="333333"/>
          <w:sz w:val="22"/>
          <w:szCs w:val="22"/>
        </w:rPr>
        <w:t xml:space="preserve">Customers without internet service show the lowest churn rate overall.</w:t>
      </w:r>
    </w:p>
    <w:p>
      <w:pPr>
        <w:spacing w:before="120" w:after="80"/>
      </w:pPr>
      <w:r>
        <w:rPr>
          <w:rFonts w:ascii="Arial" w:cs="Arial" w:eastAsia="Arial" w:hAnsi="Arial"/>
          <w:b/>
          <w:bCs/>
          <w:color w:val="2E75B6"/>
          <w:sz w:val="24"/>
          <w:szCs w:val="24"/>
        </w:rPr>
        <w:t xml:space="preserve">6.2 Value-Added Services</w:t>
      </w:r>
    </w:p>
    <w:p>
      <w:pPr>
        <w:spacing w:before="80" w:after="80"/>
      </w:pPr>
      <w:r>
        <w:rPr>
          <w:rFonts w:ascii="Arial" w:cs="Arial" w:eastAsia="Arial" w:hAnsi="Arial"/>
          <w:color w:val="333333"/>
          <w:sz w:val="22"/>
          <w:szCs w:val="22"/>
        </w:rPr>
        <w:t xml:space="preserve">Customers without the following add-on services churned at noticeably higher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3150"/>
        <w:gridCol w:w="3150"/>
      </w:tblGrid>
      <w:tr>
        <w:tc>
          <w:tcPr>
            <w:tcW w:type="auto" w:w="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auto" w:w="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on Churn if Absent</w:t>
            </w:r>
          </w:p>
        </w:tc>
        <w:tc>
          <w:tcPr>
            <w:tcW w:type="auto" w:w="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Retention Lever Strength</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Online Security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Very High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Strong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Tech Support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Very High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Strong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Online Backup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Moderate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Device Protection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Moderate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Streaming TV</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Moderate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Lower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Streaming Movies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Moderate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Lower</w:t>
            </w:r>
          </w:p>
        </w:tc>
      </w:tr>
    </w:tbl>
    <w:p>
      <w:pPr>
        <w:spacing w:before="120" w:after="80"/>
      </w:pPr>
    </w:p>
    <w:p>
      <w:pPr>
        <w:pStyle w:val="Heading2"/>
        <w:spacing w:before="320" w:after="120"/>
      </w:pPr>
      <w:r>
        <w:rPr>
          <w:rFonts w:ascii="Arial" w:cs="Arial" w:eastAsia="Arial" w:hAnsi="Arial"/>
          <w:b/>
          <w:bCs/>
          <w:color w:val="1F4E79"/>
          <w:sz w:val="28"/>
          <w:szCs w:val="28"/>
        </w:rPr>
        <w:t xml:space="preserve">7. Strategic Recommendations</w:t>
      </w:r>
    </w:p>
    <w:p>
      <w:pPr>
        <w:spacing w:before="80" w:after="80"/>
      </w:pPr>
      <w:r>
        <w:rPr>
          <w:rFonts w:ascii="Arial" w:cs="Arial" w:eastAsia="Arial" w:hAnsi="Arial"/>
          <w:color w:val="333333"/>
          <w:sz w:val="22"/>
          <w:szCs w:val="22"/>
        </w:rPr>
        <w:t xml:space="preserve">Based on the analysis findings, the following retention actions are recommended in order of priority:</w:t>
      </w:r>
    </w:p>
    <w:p>
      <w:pPr>
        <w:spacing w:before="80" w:after="80"/>
      </w:pPr>
    </w:p>
    <w:p>
      <w:pPr>
        <w:pStyle w:val="ListParagraph"/>
        <w:numPr>
          <w:ilvl w:val="0"/>
          <w:numId w:val="3"/>
        </w:numPr>
        <w:spacing w:before="60" w:after="60"/>
      </w:pPr>
      <w:r>
        <w:rPr>
          <w:rFonts w:ascii="Arial" w:cs="Arial" w:eastAsia="Arial" w:hAnsi="Arial"/>
          <w:color w:val="333333"/>
          <w:sz w:val="22"/>
          <w:szCs w:val="22"/>
        </w:rPr>
        <w:t xml:space="preserve">Convert month-to-month customers: Introduce incentives (discounts, bundled services, loyalty rewards) to migrate month-to-month subscribers to 1- or 2-year contracts. This is the single highest-impact retention lever given ~42% churn in this cohort.</w:t>
      </w:r>
    </w:p>
    <w:p>
      <w:pPr>
        <w:pStyle w:val="ListParagraph"/>
        <w:numPr>
          <w:ilvl w:val="0"/>
          <w:numId w:val="3"/>
        </w:numPr>
        <w:spacing w:before="60" w:after="60"/>
      </w:pPr>
      <w:r>
        <w:rPr>
          <w:rFonts w:ascii="Arial" w:cs="Arial" w:eastAsia="Arial" w:hAnsi="Arial"/>
          <w:color w:val="333333"/>
          <w:sz w:val="22"/>
          <w:szCs w:val="22"/>
        </w:rPr>
        <w:t xml:space="preserve">Deploy early-lifecycle intervention: Establish a proactive outreach program for customers in their first 1–3 months. Welcome calls, onboarding support, and service orientation can significantly reduce early dropout rates.</w:t>
      </w:r>
    </w:p>
    <w:p>
      <w:pPr>
        <w:pStyle w:val="ListParagraph"/>
        <w:numPr>
          <w:ilvl w:val="0"/>
          <w:numId w:val="3"/>
        </w:numPr>
        <w:spacing w:before="60" w:after="60"/>
      </w:pPr>
      <w:r>
        <w:rPr>
          <w:rFonts w:ascii="Arial" w:cs="Arial" w:eastAsia="Arial" w:hAnsi="Arial"/>
          <w:color w:val="333333"/>
          <w:sz w:val="22"/>
          <w:szCs w:val="22"/>
        </w:rPr>
        <w:t xml:space="preserve">Bundle online security and tech support: Offer these services as default inclusions or low-cost add-ons. Customers without them churn at substantially higher rates, suggesting these services build perceived value.</w:t>
      </w:r>
    </w:p>
    <w:p>
      <w:pPr>
        <w:pStyle w:val="ListParagraph"/>
        <w:numPr>
          <w:ilvl w:val="0"/>
          <w:numId w:val="3"/>
        </w:numPr>
        <w:spacing w:before="60" w:after="60"/>
      </w:pPr>
      <w:r>
        <w:rPr>
          <w:rFonts w:ascii="Arial" w:cs="Arial" w:eastAsia="Arial" w:hAnsi="Arial"/>
          <w:color w:val="333333"/>
          <w:sz w:val="22"/>
          <w:szCs w:val="22"/>
        </w:rPr>
        <w:t xml:space="preserve">Investigate fiber optic pricing and satisfaction: The higher churn among fiber optic subscribers warrants a dedicated satisfaction survey and competitive pricing review. Consider loyalty discounts for long-tenure fiber customers.</w:t>
      </w:r>
    </w:p>
    <w:p>
      <w:pPr>
        <w:pStyle w:val="ListParagraph"/>
        <w:numPr>
          <w:ilvl w:val="0"/>
          <w:numId w:val="3"/>
        </w:numPr>
        <w:spacing w:before="60" w:after="60"/>
      </w:pPr>
      <w:r>
        <w:rPr>
          <w:rFonts w:ascii="Arial" w:cs="Arial" w:eastAsia="Arial" w:hAnsi="Arial"/>
          <w:color w:val="333333"/>
          <w:sz w:val="22"/>
          <w:szCs w:val="22"/>
        </w:rPr>
        <w:t xml:space="preserve">Promote auto-pay enrollment: Electronic check users represent the highest-churn payment segment. Nudging customers toward automatic payment methods (bank transfer, credit card) may improve billing convenience and reduce voluntary churn.</w:t>
      </w:r>
    </w:p>
    <w:p>
      <w:pPr>
        <w:pStyle w:val="ListParagraph"/>
        <w:numPr>
          <w:ilvl w:val="0"/>
          <w:numId w:val="3"/>
        </w:numPr>
        <w:spacing w:before="60" w:after="60"/>
      </w:pPr>
      <w:r>
        <w:rPr>
          <w:rFonts w:ascii="Arial" w:cs="Arial" w:eastAsia="Arial" w:hAnsi="Arial"/>
          <w:color w:val="333333"/>
          <w:sz w:val="22"/>
          <w:szCs w:val="22"/>
        </w:rPr>
        <w:t xml:space="preserve">Design senior citizen retention programs: With a ~41.7% churn rate in the senior segment (vs. ~23.6% for non-seniors), specialised support options, simplified plan offerings, or dedicated customer service lines may improve retention in this demographic.</w:t>
      </w:r>
    </w:p>
    <w:p>
      <w:pPr>
        <w:pStyle w:val="Heading2"/>
        <w:spacing w:before="320" w:after="120"/>
      </w:pPr>
      <w:r>
        <w:rPr>
          <w:rFonts w:ascii="Arial" w:cs="Arial" w:eastAsia="Arial" w:hAnsi="Arial"/>
          <w:b/>
          <w:bCs/>
          <w:color w:val="1F4E79"/>
          <w:sz w:val="28"/>
          <w:szCs w:val="28"/>
        </w:rPr>
        <w:t xml:space="preserve">8. Data Quality &amp; Preprocessing Notes</w:t>
      </w:r>
    </w:p>
    <w:p>
      <w:pPr>
        <w:pStyle w:val="ListParagraph"/>
        <w:numPr>
          <w:ilvl w:val="0"/>
          <w:numId w:val="2"/>
        </w:numPr>
        <w:spacing w:before="60" w:after="60"/>
      </w:pPr>
      <w:r>
        <w:rPr>
          <w:rFonts w:ascii="Arial" w:cs="Arial" w:eastAsia="Arial" w:hAnsi="Arial"/>
          <w:color w:val="333333"/>
          <w:sz w:val="22"/>
          <w:szCs w:val="22"/>
        </w:rPr>
        <w:t xml:space="preserve">Dataset contained 7,043 records with 21 columns — no null values after preprocessing.</w:t>
      </w:r>
    </w:p>
    <w:p>
      <w:pPr>
        <w:pStyle w:val="ListParagraph"/>
        <w:numPr>
          <w:ilvl w:val="0"/>
          <w:numId w:val="2"/>
        </w:numPr>
        <w:spacing w:before="60" w:after="60"/>
      </w:pPr>
      <w:r>
        <w:rPr>
          <w:rFonts w:ascii="Arial" w:cs="Arial" w:eastAsia="Arial" w:hAnsi="Arial"/>
          <w:color w:val="333333"/>
          <w:sz w:val="22"/>
          <w:szCs w:val="22"/>
        </w:rPr>
        <w:t xml:space="preserve">11 records had blank TotalCharges (all with tenure = 0); replaced with 0 and converted to float.</w:t>
      </w:r>
    </w:p>
    <w:p>
      <w:pPr>
        <w:pStyle w:val="ListParagraph"/>
        <w:numPr>
          <w:ilvl w:val="0"/>
          <w:numId w:val="2"/>
        </w:numPr>
        <w:spacing w:before="60" w:after="60"/>
      </w:pPr>
      <w:r>
        <w:rPr>
          <w:rFonts w:ascii="Arial" w:cs="Arial" w:eastAsia="Arial" w:hAnsi="Arial"/>
          <w:color w:val="333333"/>
          <w:sz w:val="22"/>
          <w:szCs w:val="22"/>
        </w:rPr>
        <w:t xml:space="preserve">SeniorCitizen column recoded from integer (0/1) to categorical (No/Yes) for interpretability.</w:t>
      </w:r>
    </w:p>
    <w:p>
      <w:pPr>
        <w:pStyle w:val="ListParagraph"/>
        <w:numPr>
          <w:ilvl w:val="0"/>
          <w:numId w:val="2"/>
        </w:numPr>
        <w:spacing w:before="60" w:after="60"/>
      </w:pPr>
      <w:r>
        <w:rPr>
          <w:rFonts w:ascii="Arial" w:cs="Arial" w:eastAsia="Arial" w:hAnsi="Arial"/>
          <w:color w:val="333333"/>
          <w:sz w:val="22"/>
          <w:szCs w:val="22"/>
        </w:rPr>
        <w:t xml:space="preserve">customerID confirmed unique across all 7,043 records (0 duplicates).</w:t>
      </w:r>
    </w:p>
    <w:p>
      <w:pPr>
        <w:pStyle w:val="ListParagraph"/>
        <w:numPr>
          <w:ilvl w:val="0"/>
          <w:numId w:val="2"/>
        </w:numPr>
        <w:spacing w:before="60" w:after="60"/>
      </w:pPr>
      <w:r>
        <w:rPr>
          <w:rFonts w:ascii="Arial" w:cs="Arial" w:eastAsia="Arial" w:hAnsi="Arial"/>
          <w:color w:val="333333"/>
          <w:sz w:val="22"/>
          <w:szCs w:val="22"/>
        </w:rPr>
        <w:t xml:space="preserve">MonthlyCharges range: $18.25 – $118.75 | Std Dev: $30.09</w:t>
      </w:r>
    </w:p>
    <w:p>
      <w:pPr>
        <w:pStyle w:val="ListParagraph"/>
        <w:numPr>
          <w:ilvl w:val="0"/>
          <w:numId w:val="2"/>
        </w:numPr>
        <w:spacing w:before="60" w:after="60"/>
      </w:pPr>
      <w:r>
        <w:rPr>
          <w:rFonts w:ascii="Arial" w:cs="Arial" w:eastAsia="Arial" w:hAnsi="Arial"/>
          <w:color w:val="333333"/>
          <w:sz w:val="22"/>
          <w:szCs w:val="22"/>
        </w:rPr>
        <w:t xml:space="preserve">TotalCharges range: $0 – $8,684.80 | Std Dev: $2,266.79</w:t>
      </w:r>
    </w:p>
    <w:p>
      <w:pPr>
        <w:pStyle w:val="ListParagraph"/>
        <w:numPr>
          <w:ilvl w:val="0"/>
          <w:numId w:val="2"/>
        </w:numPr>
        <w:spacing w:before="60" w:after="60"/>
      </w:pPr>
      <w:r>
        <w:rPr>
          <w:rFonts w:ascii="Arial" w:cs="Arial" w:eastAsia="Arial" w:hAnsi="Arial"/>
          <w:color w:val="333333"/>
          <w:sz w:val="22"/>
          <w:szCs w:val="22"/>
        </w:rPr>
        <w:t xml:space="preserve">Tenure range: 0 – 72 months | Std Dev: 24.56 months</w:t>
      </w:r>
    </w:p>
    <w:p>
      <w:pPr>
        <w:pBdr>
          <w:bottom w:val="single" w:color="1F4E79" w:sz="6" w:space="1"/>
        </w:pBdr>
        <w:spacing w:before="120" w:after="120"/>
      </w:pPr>
    </w:p>
    <w:p>
      <w:pPr>
        <w:spacing w:before="160" w:after="60"/>
        <w:jc w:val="center"/>
      </w:pPr>
      <w:r>
        <w:rPr>
          <w:rFonts w:ascii="Arial" w:cs="Arial" w:eastAsia="Arial" w:hAnsi="Arial"/>
          <w:i/>
          <w:iCs/>
          <w:color w:val="888888"/>
          <w:sz w:val="18"/>
          <w:szCs w:val="18"/>
        </w:rPr>
        <w:t xml:space="preserve">Analysis performed using Python (pandas, matplotlib, seaborn)  |  Dataset: Telco Customer Churn (IBM Sample)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pPr>
    <w:r>
      <w:rPr>
        <w:rFonts w:ascii="Arial" w:cs="Arial" w:eastAsia="Arial" w:hAnsi="Arial"/>
        <w:b/>
        <w:bCs/>
        <w:color w:val="1F4E79"/>
        <w:sz w:val="20"/>
        <w:szCs w:val="20"/>
      </w:rPr>
      <w:t xml:space="preserve">Telco Customer Churn Analysis</w:t>
    </w:r>
    <w:r>
      <w:rPr>
        <w:rFonts w:ascii="Arial" w:cs="Arial" w:eastAsia="Arial" w:hAnsi="Arial"/>
        <w:color w:val="888888"/>
        <w:sz w:val="20"/>
        <w:szCs w:val="20"/>
      </w:rPr>
      <w:t xml:space="preserve">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1F4E79"/>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2026-03-26T05:36:58.631Z</dcterms:created>
  <dcterms:modified xsi:type="dcterms:W3CDTF">2026-03-26T05:36:58.631Z</dcterms:modified>
</cp:coreProperties>
</file>

<file path=docProps/custom.xml><?xml version="1.0" encoding="utf-8"?>
<Properties xmlns="http://schemas.openxmlformats.org/officeDocument/2006/custom-properties" xmlns:vt="http://schemas.openxmlformats.org/officeDocument/2006/docPropsVTypes"/>
</file>