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0A2540"/>
          <w:sz w:val="40"/>
        </w:rPr>
        <w:t>Fault-Aware Multi-Agent USV Swarm: Complete 10-Minute Oral Presentation Script &amp; Defense Panel Q&amp;A Guide</w:t>
      </w:r>
    </w:p>
    <w:p>
      <w:pPr>
        <w:spacing w:after="240"/>
      </w:pPr>
      <w:r>
        <w:rPr>
          <w:rFonts w:ascii="Calibri" w:hAnsi="Calibri"/>
          <w:i/>
          <w:color w:val="4A5568"/>
          <w:sz w:val="22"/>
        </w:rPr>
        <w:t>Calibrated Verbatim Presentation Script (10:00–11:30 mins) with Slide Cues, Empirical Benchmarks, and Technical Defense Guide</w:t>
      </w:r>
    </w:p>
    <w:tbl>
      <w:tblPr>
        <w:tblW w:type="auto" w:w="0"/>
        <w:tblLook w:firstColumn="1" w:firstRow="1" w:lastColumn="0" w:lastRow="0" w:noHBand="0" w:noVBand="1" w:val="04A0"/>
        <w:tblBorders>
          <w:top w:val="single" w:sz="4" w:space="0" w:color="E2E8F0"/>
          <w:bottom w:val="single" w:sz="4" w:space="0" w:color="E2E8F0"/>
          <w:left w:val="none"/>
          <w:right w:val="none"/>
          <w:insideH w:val="single" w:sz="4" w:space="0" w:color="E2E8F0"/>
          <w:insideV w:val="none"/>
        </w:tblBorders>
      </w:tblPr>
      <w:tblGrid>
        <w:gridCol w:w="4680"/>
        <w:gridCol w:w="4680"/>
      </w:tblGrid>
      <w:tr>
        <w:tc>
          <w:tcPr>
            <w:tcW w:type="dxa" w:w="2880"/>
            <w:tcMar>
              <w:top w:w="40" w:type="dxa"/>
              <w:bottom w:w="40" w:type="dxa"/>
              <w:left w:w="60" w:type="dxa"/>
              <w:right w:w="60" w:type="dxa"/>
            </w:tcMar>
            <w:shd w:fill="F4F6F9"/>
          </w:tcPr>
          <w:p>
            <w:pPr>
              <w:spacing w:after="40"/>
            </w:pPr>
            <w:r>
              <w:rPr>
                <w:b/>
                <w:color w:val="0A2540"/>
                <w:sz w:val="19"/>
              </w:rPr>
              <w:t>Presenter Role:</w:t>
            </w:r>
          </w:p>
        </w:tc>
        <w:tc>
          <w:tcPr>
            <w:tcW w:type="dxa" w:w="6480"/>
            <w:tcMar>
              <w:top w:w="40" w:type="dxa"/>
              <w:bottom w:w="40" w:type="dxa"/>
              <w:left w:w="60" w:type="dxa"/>
              <w:right w:w="60" w:type="dxa"/>
            </w:tcMar>
            <w:shd w:fill="FFFFFF"/>
          </w:tcPr>
          <w:p>
            <w:pPr>
              <w:spacing w:after="40"/>
            </w:pPr>
            <w:r>
              <w:rPr>
                <w:color w:val="2D3748"/>
                <w:sz w:val="19"/>
              </w:rPr>
              <w:t>Lead Systems &amp; Robotics Engineer (Capstone Taskforce)</w:t>
            </w:r>
          </w:p>
        </w:tc>
      </w:tr>
      <w:tr>
        <w:tc>
          <w:tcPr>
            <w:tcW w:type="dxa" w:w="2880"/>
            <w:tcMar>
              <w:top w:w="40" w:type="dxa"/>
              <w:bottom w:w="40" w:type="dxa"/>
              <w:left w:w="60" w:type="dxa"/>
              <w:right w:w="60" w:type="dxa"/>
            </w:tcMar>
            <w:shd w:fill="F4F6F9"/>
          </w:tcPr>
          <w:p>
            <w:pPr>
              <w:spacing w:after="40"/>
            </w:pPr>
            <w:r>
              <w:rPr>
                <w:b/>
                <w:color w:val="0A2540"/>
                <w:sz w:val="19"/>
              </w:rPr>
              <w:t>Target Duration:</w:t>
            </w:r>
          </w:p>
        </w:tc>
        <w:tc>
          <w:tcPr>
            <w:tcW w:type="dxa" w:w="6480"/>
            <w:tcMar>
              <w:top w:w="40" w:type="dxa"/>
              <w:bottom w:w="40" w:type="dxa"/>
              <w:left w:w="60" w:type="dxa"/>
              <w:right w:w="60" w:type="dxa"/>
            </w:tcMar>
            <w:shd w:fill="FFFFFF"/>
          </w:tcPr>
          <w:p>
            <w:pPr>
              <w:spacing w:after="40"/>
            </w:pPr>
            <w:r>
              <w:rPr>
                <w:color w:val="2D3748"/>
                <w:sz w:val="19"/>
              </w:rPr>
              <w:t>10:00 to 11:30 Minutes (~1,500 spoken words at 140 words/min)</w:t>
            </w:r>
          </w:p>
        </w:tc>
      </w:tr>
      <w:tr>
        <w:tc>
          <w:tcPr>
            <w:tcW w:type="dxa" w:w="2880"/>
            <w:tcMar>
              <w:top w:w="40" w:type="dxa"/>
              <w:bottom w:w="40" w:type="dxa"/>
              <w:left w:w="60" w:type="dxa"/>
              <w:right w:w="60" w:type="dxa"/>
            </w:tcMar>
            <w:shd w:fill="F4F6F9"/>
          </w:tcPr>
          <w:p>
            <w:pPr>
              <w:spacing w:after="40"/>
            </w:pPr>
            <w:r>
              <w:rPr>
                <w:b/>
                <w:color w:val="0A2540"/>
                <w:sz w:val="19"/>
              </w:rPr>
              <w:t>Target Audience:</w:t>
            </w:r>
          </w:p>
        </w:tc>
        <w:tc>
          <w:tcPr>
            <w:tcW w:type="dxa" w:w="6480"/>
            <w:tcMar>
              <w:top w:w="40" w:type="dxa"/>
              <w:bottom w:w="40" w:type="dxa"/>
              <w:left w:w="60" w:type="dxa"/>
              <w:right w:w="60" w:type="dxa"/>
            </w:tcMar>
            <w:shd w:fill="FFFFFF"/>
          </w:tcPr>
          <w:p>
            <w:pPr>
              <w:spacing w:after="40"/>
            </w:pPr>
            <w:r>
              <w:rPr>
                <w:color w:val="2D3748"/>
                <w:sz w:val="19"/>
              </w:rPr>
              <w:t>Capstone Evaluation Committee, Robotics Faculty, &amp; Enterprise Panel</w:t>
            </w:r>
          </w:p>
        </w:tc>
      </w:tr>
      <w:tr>
        <w:tc>
          <w:tcPr>
            <w:tcW w:type="dxa" w:w="2880"/>
            <w:tcMar>
              <w:top w:w="40" w:type="dxa"/>
              <w:bottom w:w="40" w:type="dxa"/>
              <w:left w:w="60" w:type="dxa"/>
              <w:right w:w="60" w:type="dxa"/>
            </w:tcMar>
            <w:shd w:fill="F4F6F9"/>
          </w:tcPr>
          <w:p>
            <w:pPr>
              <w:spacing w:after="40"/>
            </w:pPr>
            <w:r>
              <w:rPr>
                <w:b/>
                <w:color w:val="0A2540"/>
                <w:sz w:val="19"/>
              </w:rPr>
              <w:t>Core Deliverable:</w:t>
            </w:r>
          </w:p>
        </w:tc>
        <w:tc>
          <w:tcPr>
            <w:tcW w:type="dxa" w:w="6480"/>
            <w:tcMar>
              <w:top w:w="40" w:type="dxa"/>
              <w:bottom w:w="40" w:type="dxa"/>
              <w:left w:w="60" w:type="dxa"/>
              <w:right w:w="60" w:type="dxa"/>
            </w:tcMar>
            <w:shd w:fill="FFFFFF"/>
          </w:tcPr>
          <w:p>
            <w:pPr>
              <w:spacing w:after="40"/>
            </w:pPr>
            <w:r>
              <w:rPr>
                <w:color w:val="2D3748"/>
                <w:sz w:val="19"/>
              </w:rPr>
              <w:t>Verbatim Spoken Dialogue, Slide Displays, &amp; Technical Panel Q&amp;A Guide</w:t>
            </w:r>
          </w:p>
        </w:tc>
      </w:tr>
    </w:tbl>
    <w:p>
      <w:pPr>
        <w:spacing w:after="160"/>
      </w:pPr>
    </w:p>
    <w:p>
      <w:pPr>
        <w:keepNext/>
        <w:spacing w:before="360" w:after="120"/>
        <w:pBdr>
          <w:bottom w:val="single" w:sz="12" w:space="4" w:color="0A2540"/>
        </w:pBdr>
      </w:pPr>
      <w:r>
        <w:rPr>
          <w:rFonts w:ascii="Calibri" w:hAnsi="Calibri"/>
          <w:b/>
          <w:color w:val="0A2540"/>
          <w:sz w:val="30"/>
        </w:rPr>
        <w:t>PART I: 10-MINUTE ORAL PRESENTATION SCRIPT (VERBATIM PPT BRIEFING)</w:t>
      </w:r>
    </w:p>
    <w:p>
      <w:pPr>
        <w:spacing w:before="0" w:after="100" w:line="276" w:lineRule="auto"/>
      </w:pPr>
      <w:r>
        <w:rPr>
          <w:rFonts w:ascii="Calibri" w:hAnsi="Calibri"/>
          <w:color w:val="2D3748"/>
          <w:sz w:val="20"/>
        </w:rPr>
        <w:t>This section delivers a calibrated, word-for-word spoken presentation script spanning 10:00 to 11:30 minutes (~1,500 words at a natural speaking rate of 140 words/minute). Each slide includes visual cues, slide display contents, key formulas/metrics, and exact speaker dialogue.</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1440"/>
            <w:shd w:fill="0A2540"/>
            <w:tcMar>
              <w:top w:w="140" w:type="dxa"/>
              <w:bottom w:w="140" w:type="dxa"/>
              <w:left w:w="140" w:type="dxa"/>
              <w:right w:w="140" w:type="dxa"/>
            </w:tcMar>
          </w:tcPr>
          <w:p>
            <w:pPr>
              <w:spacing w:after="0"/>
              <w:jc w:val="left"/>
            </w:pPr>
            <w:r>
              <w:rPr>
                <w:rFonts w:ascii="Calibri" w:hAnsi="Calibri"/>
                <w:b/>
                <w:color w:val="FFFFFF"/>
                <w:sz w:val="19"/>
              </w:rPr>
              <w:t>Slide</w:t>
            </w:r>
          </w:p>
        </w:tc>
        <w:tc>
          <w:tcPr>
            <w:tcW w:type="dxa" w:w="2160"/>
            <w:shd w:fill="0A2540"/>
            <w:tcMar>
              <w:top w:w="140" w:type="dxa"/>
              <w:bottom w:w="140" w:type="dxa"/>
              <w:left w:w="140" w:type="dxa"/>
              <w:right w:w="140" w:type="dxa"/>
            </w:tcMar>
          </w:tcPr>
          <w:p>
            <w:pPr>
              <w:spacing w:after="0"/>
              <w:jc w:val="left"/>
            </w:pPr>
            <w:r>
              <w:rPr>
                <w:rFonts w:ascii="Calibri" w:hAnsi="Calibri"/>
                <w:b/>
                <w:color w:val="FFFFFF"/>
                <w:sz w:val="19"/>
              </w:rPr>
              <w:t>Timestamp Window</w:t>
            </w:r>
          </w:p>
        </w:tc>
        <w:tc>
          <w:tcPr>
            <w:tcW w:type="dxa" w:w="1584"/>
            <w:shd w:fill="0A2540"/>
            <w:tcMar>
              <w:top w:w="140" w:type="dxa"/>
              <w:bottom w:w="140" w:type="dxa"/>
              <w:left w:w="140" w:type="dxa"/>
              <w:right w:w="140" w:type="dxa"/>
            </w:tcMar>
          </w:tcPr>
          <w:p>
            <w:pPr>
              <w:spacing w:after="0"/>
              <w:jc w:val="left"/>
            </w:pPr>
            <w:r>
              <w:rPr>
                <w:rFonts w:ascii="Calibri" w:hAnsi="Calibri"/>
                <w:b/>
                <w:color w:val="FFFFFF"/>
                <w:sz w:val="19"/>
              </w:rPr>
              <w:t>Duration</w:t>
            </w:r>
          </w:p>
        </w:tc>
        <w:tc>
          <w:tcPr>
            <w:tcW w:type="dxa" w:w="4176"/>
            <w:shd w:fill="0A2540"/>
            <w:tcMar>
              <w:top w:w="140" w:type="dxa"/>
              <w:bottom w:w="140" w:type="dxa"/>
              <w:left w:w="140" w:type="dxa"/>
              <w:right w:w="140" w:type="dxa"/>
            </w:tcMar>
          </w:tcPr>
          <w:p>
            <w:pPr>
              <w:spacing w:after="0"/>
              <w:jc w:val="left"/>
            </w:pPr>
            <w:r>
              <w:rPr>
                <w:rFonts w:ascii="Calibri" w:hAnsi="Calibri"/>
                <w:b/>
                <w:color w:val="FFFFFF"/>
                <w:sz w:val="19"/>
              </w:rPr>
              <w:t>Slide Topic &amp; Technical Focus Area</w:t>
            </w:r>
          </w:p>
        </w:tc>
      </w:tr>
      <w:tr>
        <w:tc>
          <w:tcPr>
            <w:tcW w:type="dxa" w:w="1440"/>
            <w:shd w:fill="F7FAFC"/>
            <w:tcMar>
              <w:top w:w="100" w:type="dxa"/>
              <w:bottom w:w="100" w:type="dxa"/>
              <w:left w:w="140" w:type="dxa"/>
              <w:right w:w="140" w:type="dxa"/>
            </w:tcMar>
          </w:tcPr>
          <w:p>
            <w:pPr>
              <w:spacing w:after="0"/>
              <w:jc w:val="left"/>
            </w:pPr>
            <w:r>
              <w:rPr>
                <w:rFonts w:ascii="Calibri" w:hAnsi="Calibri"/>
                <w:color w:val="2D3748"/>
                <w:sz w:val="18"/>
              </w:rPr>
              <w:t>Slide 1</w:t>
            </w:r>
          </w:p>
        </w:tc>
        <w:tc>
          <w:tcPr>
            <w:tcW w:type="dxa" w:w="2160"/>
            <w:shd w:fill="F7FAFC"/>
            <w:tcMar>
              <w:top w:w="100" w:type="dxa"/>
              <w:bottom w:w="100" w:type="dxa"/>
              <w:left w:w="140" w:type="dxa"/>
              <w:right w:w="140" w:type="dxa"/>
            </w:tcMar>
          </w:tcPr>
          <w:p>
            <w:pPr>
              <w:spacing w:after="0"/>
              <w:jc w:val="left"/>
            </w:pPr>
            <w:r>
              <w:rPr>
                <w:rFonts w:ascii="Calibri" w:hAnsi="Calibri"/>
                <w:color w:val="2D3748"/>
                <w:sz w:val="18"/>
              </w:rPr>
              <w:t>0:00 – 1:05</w:t>
            </w:r>
          </w:p>
        </w:tc>
        <w:tc>
          <w:tcPr>
            <w:tcW w:type="dxa" w:w="1584"/>
            <w:shd w:fill="F7FAFC"/>
            <w:tcMar>
              <w:top w:w="100" w:type="dxa"/>
              <w:bottom w:w="100" w:type="dxa"/>
              <w:left w:w="140" w:type="dxa"/>
              <w:right w:w="140" w:type="dxa"/>
            </w:tcMar>
          </w:tcPr>
          <w:p>
            <w:pPr>
              <w:spacing w:after="0"/>
              <w:jc w:val="left"/>
            </w:pPr>
            <w:r>
              <w:rPr>
                <w:rFonts w:ascii="Calibri" w:hAnsi="Calibri"/>
                <w:color w:val="2D3748"/>
                <w:sz w:val="18"/>
              </w:rPr>
              <w:t>1:05 min</w:t>
            </w:r>
          </w:p>
        </w:tc>
        <w:tc>
          <w:tcPr>
            <w:tcW w:type="dxa" w:w="4176"/>
            <w:shd w:fill="F7FAFC"/>
            <w:tcMar>
              <w:top w:w="100" w:type="dxa"/>
              <w:bottom w:w="100" w:type="dxa"/>
              <w:left w:w="140" w:type="dxa"/>
              <w:right w:w="140" w:type="dxa"/>
            </w:tcMar>
          </w:tcPr>
          <w:p>
            <w:pPr>
              <w:spacing w:after="0"/>
              <w:jc w:val="left"/>
            </w:pPr>
            <w:r>
              <w:rPr>
                <w:rFonts w:ascii="Calibri" w:hAnsi="Calibri"/>
                <w:color w:val="2D3748"/>
                <w:sz w:val="18"/>
              </w:rPr>
              <w:t>Title Hook, Operational Problem Statement &amp; Multi-Threat Model</w:t>
            </w:r>
          </w:p>
        </w:tc>
      </w:tr>
      <w:tr>
        <w:tc>
          <w:tcPr>
            <w:tcW w:type="dxa" w:w="1440"/>
            <w:shd w:fill="FFFFFF"/>
            <w:tcMar>
              <w:top w:w="100" w:type="dxa"/>
              <w:bottom w:w="100" w:type="dxa"/>
              <w:left w:w="140" w:type="dxa"/>
              <w:right w:w="140" w:type="dxa"/>
            </w:tcMar>
          </w:tcPr>
          <w:p>
            <w:pPr>
              <w:spacing w:after="0"/>
              <w:jc w:val="left"/>
            </w:pPr>
            <w:r>
              <w:rPr>
                <w:rFonts w:ascii="Calibri" w:hAnsi="Calibri"/>
                <w:color w:val="2D3748"/>
                <w:sz w:val="18"/>
              </w:rPr>
              <w:t>Slide 2</w:t>
            </w:r>
          </w:p>
        </w:tc>
        <w:tc>
          <w:tcPr>
            <w:tcW w:type="dxa" w:w="2160"/>
            <w:shd w:fill="FFFFFF"/>
            <w:tcMar>
              <w:top w:w="100" w:type="dxa"/>
              <w:bottom w:w="100" w:type="dxa"/>
              <w:left w:w="140" w:type="dxa"/>
              <w:right w:w="140" w:type="dxa"/>
            </w:tcMar>
          </w:tcPr>
          <w:p>
            <w:pPr>
              <w:spacing w:after="0"/>
              <w:jc w:val="left"/>
            </w:pPr>
            <w:r>
              <w:rPr>
                <w:rFonts w:ascii="Calibri" w:hAnsi="Calibri"/>
                <w:color w:val="2D3748"/>
                <w:sz w:val="18"/>
              </w:rPr>
              <w:t>1:05 – 2:20</w:t>
            </w:r>
          </w:p>
        </w:tc>
        <w:tc>
          <w:tcPr>
            <w:tcW w:type="dxa" w:w="1584"/>
            <w:shd w:fill="FFFFFF"/>
            <w:tcMar>
              <w:top w:w="100" w:type="dxa"/>
              <w:bottom w:w="100" w:type="dxa"/>
              <w:left w:w="140" w:type="dxa"/>
              <w:right w:w="140" w:type="dxa"/>
            </w:tcMar>
          </w:tcPr>
          <w:p>
            <w:pPr>
              <w:spacing w:after="0"/>
              <w:jc w:val="left"/>
            </w:pPr>
            <w:r>
              <w:rPr>
                <w:rFonts w:ascii="Calibri" w:hAnsi="Calibri"/>
                <w:color w:val="2D3748"/>
                <w:sz w:val="18"/>
              </w:rPr>
              <w:t>1:15 min</w:t>
            </w:r>
          </w:p>
        </w:tc>
        <w:tc>
          <w:tcPr>
            <w:tcW w:type="dxa" w:w="4176"/>
            <w:shd w:fill="FFFFFF"/>
            <w:tcMar>
              <w:top w:w="100" w:type="dxa"/>
              <w:bottom w:w="100" w:type="dxa"/>
              <w:left w:w="140" w:type="dxa"/>
              <w:right w:w="140" w:type="dxa"/>
            </w:tcMar>
          </w:tcPr>
          <w:p>
            <w:pPr>
              <w:spacing w:after="0"/>
              <w:jc w:val="left"/>
            </w:pPr>
            <w:r>
              <w:rPr>
                <w:rFonts w:ascii="Calibri" w:hAnsi="Calibri"/>
                <w:color w:val="2D3748"/>
                <w:sz w:val="18"/>
              </w:rPr>
              <w:t>3-DOF Non-Linear Hydrodynamics, Target Evasion, &amp; Section 5 Rubric</w:t>
            </w:r>
          </w:p>
        </w:tc>
      </w:tr>
      <w:tr>
        <w:tc>
          <w:tcPr>
            <w:tcW w:type="dxa" w:w="1440"/>
            <w:shd w:fill="F7FAFC"/>
            <w:tcMar>
              <w:top w:w="100" w:type="dxa"/>
              <w:bottom w:w="100" w:type="dxa"/>
              <w:left w:w="140" w:type="dxa"/>
              <w:right w:w="140" w:type="dxa"/>
            </w:tcMar>
          </w:tcPr>
          <w:p>
            <w:pPr>
              <w:spacing w:after="0"/>
              <w:jc w:val="left"/>
            </w:pPr>
            <w:r>
              <w:rPr>
                <w:rFonts w:ascii="Calibri" w:hAnsi="Calibri"/>
                <w:color w:val="2D3748"/>
                <w:sz w:val="18"/>
              </w:rPr>
              <w:t>Slide 3</w:t>
            </w:r>
          </w:p>
        </w:tc>
        <w:tc>
          <w:tcPr>
            <w:tcW w:type="dxa" w:w="2160"/>
            <w:shd w:fill="F7FAFC"/>
            <w:tcMar>
              <w:top w:w="100" w:type="dxa"/>
              <w:bottom w:w="100" w:type="dxa"/>
              <w:left w:w="140" w:type="dxa"/>
              <w:right w:w="140" w:type="dxa"/>
            </w:tcMar>
          </w:tcPr>
          <w:p>
            <w:pPr>
              <w:spacing w:after="0"/>
              <w:jc w:val="left"/>
            </w:pPr>
            <w:r>
              <w:rPr>
                <w:rFonts w:ascii="Calibri" w:hAnsi="Calibri"/>
                <w:color w:val="2D3748"/>
                <w:sz w:val="18"/>
              </w:rPr>
              <w:t>2:20 – 3:45</w:t>
            </w:r>
          </w:p>
        </w:tc>
        <w:tc>
          <w:tcPr>
            <w:tcW w:type="dxa" w:w="1584"/>
            <w:shd w:fill="F7FAFC"/>
            <w:tcMar>
              <w:top w:w="100" w:type="dxa"/>
              <w:bottom w:w="100" w:type="dxa"/>
              <w:left w:w="140" w:type="dxa"/>
              <w:right w:w="140" w:type="dxa"/>
            </w:tcMar>
          </w:tcPr>
          <w:p>
            <w:pPr>
              <w:spacing w:after="0"/>
              <w:jc w:val="left"/>
            </w:pPr>
            <w:r>
              <w:rPr>
                <w:rFonts w:ascii="Calibri" w:hAnsi="Calibri"/>
                <w:color w:val="2D3748"/>
                <w:sz w:val="18"/>
              </w:rPr>
              <w:t>1:25 min</w:t>
            </w:r>
          </w:p>
        </w:tc>
        <w:tc>
          <w:tcPr>
            <w:tcW w:type="dxa" w:w="4176"/>
            <w:shd w:fill="F7FAFC"/>
            <w:tcMar>
              <w:top w:w="100" w:type="dxa"/>
              <w:bottom w:w="100" w:type="dxa"/>
              <w:left w:w="140" w:type="dxa"/>
              <w:right w:w="140" w:type="dxa"/>
            </w:tcMar>
          </w:tcPr>
          <w:p>
            <w:pPr>
              <w:spacing w:after="0"/>
              <w:jc w:val="left"/>
            </w:pPr>
            <w:r>
              <w:rPr>
                <w:rFonts w:ascii="Calibri" w:hAnsi="Calibri"/>
                <w:color w:val="2D3748"/>
                <w:sz w:val="18"/>
              </w:rPr>
              <w:t>Dual-Runtime Architecture &amp; 9-Package Distributed ROS 2 Stack</w:t>
            </w:r>
          </w:p>
        </w:tc>
      </w:tr>
      <w:tr>
        <w:tc>
          <w:tcPr>
            <w:tcW w:type="dxa" w:w="1440"/>
            <w:shd w:fill="FFFFFF"/>
            <w:tcMar>
              <w:top w:w="100" w:type="dxa"/>
              <w:bottom w:w="100" w:type="dxa"/>
              <w:left w:w="140" w:type="dxa"/>
              <w:right w:w="140" w:type="dxa"/>
            </w:tcMar>
          </w:tcPr>
          <w:p>
            <w:pPr>
              <w:spacing w:after="0"/>
              <w:jc w:val="left"/>
            </w:pPr>
            <w:r>
              <w:rPr>
                <w:rFonts w:ascii="Calibri" w:hAnsi="Calibri"/>
                <w:color w:val="2D3748"/>
                <w:sz w:val="18"/>
              </w:rPr>
              <w:t>Slide 4</w:t>
            </w:r>
          </w:p>
        </w:tc>
        <w:tc>
          <w:tcPr>
            <w:tcW w:type="dxa" w:w="2160"/>
            <w:shd w:fill="FFFFFF"/>
            <w:tcMar>
              <w:top w:w="100" w:type="dxa"/>
              <w:bottom w:w="100" w:type="dxa"/>
              <w:left w:w="140" w:type="dxa"/>
              <w:right w:w="140" w:type="dxa"/>
            </w:tcMar>
          </w:tcPr>
          <w:p>
            <w:pPr>
              <w:spacing w:after="0"/>
              <w:jc w:val="left"/>
            </w:pPr>
            <w:r>
              <w:rPr>
                <w:rFonts w:ascii="Calibri" w:hAnsi="Calibri"/>
                <w:color w:val="2D3748"/>
                <w:sz w:val="18"/>
              </w:rPr>
              <w:t>3:45 – 5:00</w:t>
            </w:r>
          </w:p>
        </w:tc>
        <w:tc>
          <w:tcPr>
            <w:tcW w:type="dxa" w:w="1584"/>
            <w:shd w:fill="FFFFFF"/>
            <w:tcMar>
              <w:top w:w="100" w:type="dxa"/>
              <w:bottom w:w="100" w:type="dxa"/>
              <w:left w:w="140" w:type="dxa"/>
              <w:right w:w="140" w:type="dxa"/>
            </w:tcMar>
          </w:tcPr>
          <w:p>
            <w:pPr>
              <w:spacing w:after="0"/>
              <w:jc w:val="left"/>
            </w:pPr>
            <w:r>
              <w:rPr>
                <w:rFonts w:ascii="Calibri" w:hAnsi="Calibri"/>
                <w:color w:val="2D3748"/>
                <w:sz w:val="18"/>
              </w:rPr>
              <w:t>1:15 min</w:t>
            </w:r>
          </w:p>
        </w:tc>
        <w:tc>
          <w:tcPr>
            <w:tcW w:type="dxa" w:w="4176"/>
            <w:shd w:fill="FFFFFF"/>
            <w:tcMar>
              <w:top w:w="100" w:type="dxa"/>
              <w:bottom w:w="100" w:type="dxa"/>
              <w:left w:w="140" w:type="dxa"/>
              <w:right w:w="140" w:type="dxa"/>
            </w:tcMar>
          </w:tcPr>
          <w:p>
            <w:pPr>
              <w:spacing w:after="0"/>
              <w:jc w:val="left"/>
            </w:pPr>
            <w:r>
              <w:rPr>
                <w:rFonts w:ascii="Calibri" w:hAnsi="Calibri"/>
                <w:color w:val="2D3748"/>
                <w:sz w:val="18"/>
              </w:rPr>
              <w:t>Algorithmic Core: XGBoost FDI, Hungarian Hysteresis, &amp; CBF Shield</w:t>
            </w:r>
          </w:p>
        </w:tc>
      </w:tr>
      <w:tr>
        <w:tc>
          <w:tcPr>
            <w:tcW w:type="dxa" w:w="1440"/>
            <w:shd w:fill="F7FAFC"/>
            <w:tcMar>
              <w:top w:w="100" w:type="dxa"/>
              <w:bottom w:w="100" w:type="dxa"/>
              <w:left w:w="140" w:type="dxa"/>
              <w:right w:w="140" w:type="dxa"/>
            </w:tcMar>
          </w:tcPr>
          <w:p>
            <w:pPr>
              <w:spacing w:after="0"/>
              <w:jc w:val="left"/>
            </w:pPr>
            <w:r>
              <w:rPr>
                <w:rFonts w:ascii="Calibri" w:hAnsi="Calibri"/>
                <w:color w:val="2D3748"/>
                <w:sz w:val="18"/>
              </w:rPr>
              <w:t>Slide 5</w:t>
            </w:r>
          </w:p>
        </w:tc>
        <w:tc>
          <w:tcPr>
            <w:tcW w:type="dxa" w:w="2160"/>
            <w:shd w:fill="F7FAFC"/>
            <w:tcMar>
              <w:top w:w="100" w:type="dxa"/>
              <w:bottom w:w="100" w:type="dxa"/>
              <w:left w:w="140" w:type="dxa"/>
              <w:right w:w="140" w:type="dxa"/>
            </w:tcMar>
          </w:tcPr>
          <w:p>
            <w:pPr>
              <w:spacing w:after="0"/>
              <w:jc w:val="left"/>
            </w:pPr>
            <w:r>
              <w:rPr>
                <w:rFonts w:ascii="Calibri" w:hAnsi="Calibri"/>
                <w:color w:val="2D3748"/>
                <w:sz w:val="18"/>
              </w:rPr>
              <w:t>5:00 – 6:15</w:t>
            </w:r>
          </w:p>
        </w:tc>
        <w:tc>
          <w:tcPr>
            <w:tcW w:type="dxa" w:w="1584"/>
            <w:shd w:fill="F7FAFC"/>
            <w:tcMar>
              <w:top w:w="100" w:type="dxa"/>
              <w:bottom w:w="100" w:type="dxa"/>
              <w:left w:w="140" w:type="dxa"/>
              <w:right w:w="140" w:type="dxa"/>
            </w:tcMar>
          </w:tcPr>
          <w:p>
            <w:pPr>
              <w:spacing w:after="0"/>
              <w:jc w:val="left"/>
            </w:pPr>
            <w:r>
              <w:rPr>
                <w:rFonts w:ascii="Calibri" w:hAnsi="Calibri"/>
                <w:color w:val="2D3748"/>
                <w:sz w:val="18"/>
              </w:rPr>
              <w:t>1:15 min</w:t>
            </w:r>
          </w:p>
        </w:tc>
        <w:tc>
          <w:tcPr>
            <w:tcW w:type="dxa" w:w="4176"/>
            <w:shd w:fill="F7FAFC"/>
            <w:tcMar>
              <w:top w:w="100" w:type="dxa"/>
              <w:bottom w:w="100" w:type="dxa"/>
              <w:left w:w="140" w:type="dxa"/>
              <w:right w:w="140" w:type="dxa"/>
            </w:tcMar>
          </w:tcPr>
          <w:p>
            <w:pPr>
              <w:spacing w:after="0"/>
              <w:jc w:val="left"/>
            </w:pPr>
            <w:r>
              <w:rPr>
                <w:rFonts w:ascii="Calibri" w:hAnsi="Calibri"/>
                <w:color w:val="2D3748"/>
                <w:sz w:val="18"/>
              </w:rPr>
              <w:t>Project Engineering Challenges &amp; Concrete Implemented Mitigations</w:t>
            </w:r>
          </w:p>
        </w:tc>
      </w:tr>
      <w:tr>
        <w:tc>
          <w:tcPr>
            <w:tcW w:type="dxa" w:w="1440"/>
            <w:shd w:fill="FFFFFF"/>
            <w:tcMar>
              <w:top w:w="100" w:type="dxa"/>
              <w:bottom w:w="100" w:type="dxa"/>
              <w:left w:w="140" w:type="dxa"/>
              <w:right w:w="140" w:type="dxa"/>
            </w:tcMar>
          </w:tcPr>
          <w:p>
            <w:pPr>
              <w:spacing w:after="0"/>
              <w:jc w:val="left"/>
            </w:pPr>
            <w:r>
              <w:rPr>
                <w:rFonts w:ascii="Calibri" w:hAnsi="Calibri"/>
                <w:color w:val="2D3748"/>
                <w:sz w:val="18"/>
              </w:rPr>
              <w:t>Slide 6</w:t>
            </w:r>
          </w:p>
        </w:tc>
        <w:tc>
          <w:tcPr>
            <w:tcW w:type="dxa" w:w="2160"/>
            <w:shd w:fill="FFFFFF"/>
            <w:tcMar>
              <w:top w:w="100" w:type="dxa"/>
              <w:bottom w:w="100" w:type="dxa"/>
              <w:left w:w="140" w:type="dxa"/>
              <w:right w:w="140" w:type="dxa"/>
            </w:tcMar>
          </w:tcPr>
          <w:p>
            <w:pPr>
              <w:spacing w:after="0"/>
              <w:jc w:val="left"/>
            </w:pPr>
            <w:r>
              <w:rPr>
                <w:rFonts w:ascii="Calibri" w:hAnsi="Calibri"/>
                <w:color w:val="2D3748"/>
                <w:sz w:val="18"/>
              </w:rPr>
              <w:t>6:15 – 7:45</w:t>
            </w:r>
          </w:p>
        </w:tc>
        <w:tc>
          <w:tcPr>
            <w:tcW w:type="dxa" w:w="1584"/>
            <w:shd w:fill="FFFFFF"/>
            <w:tcMar>
              <w:top w:w="100" w:type="dxa"/>
              <w:bottom w:w="100" w:type="dxa"/>
              <w:left w:w="140" w:type="dxa"/>
              <w:right w:w="140" w:type="dxa"/>
            </w:tcMar>
          </w:tcPr>
          <w:p>
            <w:pPr>
              <w:spacing w:after="0"/>
              <w:jc w:val="left"/>
            </w:pPr>
            <w:r>
              <w:rPr>
                <w:rFonts w:ascii="Calibri" w:hAnsi="Calibri"/>
                <w:color w:val="2D3748"/>
                <w:sz w:val="18"/>
              </w:rPr>
              <w:t>1:30 min</w:t>
            </w:r>
          </w:p>
        </w:tc>
        <w:tc>
          <w:tcPr>
            <w:tcW w:type="dxa" w:w="4176"/>
            <w:shd w:fill="FFFFFF"/>
            <w:tcMar>
              <w:top w:w="100" w:type="dxa"/>
              <w:bottom w:w="100" w:type="dxa"/>
              <w:left w:w="140" w:type="dxa"/>
              <w:right w:w="140" w:type="dxa"/>
            </w:tcMar>
          </w:tcPr>
          <w:p>
            <w:pPr>
              <w:spacing w:after="0"/>
              <w:jc w:val="left"/>
            </w:pPr>
            <w:r>
              <w:rPr>
                <w:rFonts w:ascii="Calibri" w:hAnsi="Calibri"/>
                <w:color w:val="2D3748"/>
                <w:sz w:val="18"/>
              </w:rPr>
              <w:t>In-Depth Study: Co-Channel Contention &amp; Multi-Layer Mitigations</w:t>
            </w:r>
          </w:p>
        </w:tc>
      </w:tr>
      <w:tr>
        <w:tc>
          <w:tcPr>
            <w:tcW w:type="dxa" w:w="1440"/>
            <w:shd w:fill="F7FAFC"/>
            <w:tcMar>
              <w:top w:w="100" w:type="dxa"/>
              <w:bottom w:w="100" w:type="dxa"/>
              <w:left w:w="140" w:type="dxa"/>
              <w:right w:w="140" w:type="dxa"/>
            </w:tcMar>
          </w:tcPr>
          <w:p>
            <w:pPr>
              <w:spacing w:after="0"/>
              <w:jc w:val="left"/>
            </w:pPr>
            <w:r>
              <w:rPr>
                <w:rFonts w:ascii="Calibri" w:hAnsi="Calibri"/>
                <w:color w:val="2D3748"/>
                <w:sz w:val="18"/>
              </w:rPr>
              <w:t>Slide 7</w:t>
            </w:r>
          </w:p>
        </w:tc>
        <w:tc>
          <w:tcPr>
            <w:tcW w:type="dxa" w:w="2160"/>
            <w:shd w:fill="F7FAFC"/>
            <w:tcMar>
              <w:top w:w="100" w:type="dxa"/>
              <w:bottom w:w="100" w:type="dxa"/>
              <w:left w:w="140" w:type="dxa"/>
              <w:right w:w="140" w:type="dxa"/>
            </w:tcMar>
          </w:tcPr>
          <w:p>
            <w:pPr>
              <w:spacing w:after="0"/>
              <w:jc w:val="left"/>
            </w:pPr>
            <w:r>
              <w:rPr>
                <w:rFonts w:ascii="Calibri" w:hAnsi="Calibri"/>
                <w:color w:val="2D3748"/>
                <w:sz w:val="18"/>
              </w:rPr>
              <w:t>7:45 – 9:05</w:t>
            </w:r>
          </w:p>
        </w:tc>
        <w:tc>
          <w:tcPr>
            <w:tcW w:type="dxa" w:w="1584"/>
            <w:shd w:fill="F7FAFC"/>
            <w:tcMar>
              <w:top w:w="100" w:type="dxa"/>
              <w:bottom w:w="100" w:type="dxa"/>
              <w:left w:w="140" w:type="dxa"/>
              <w:right w:w="140" w:type="dxa"/>
            </w:tcMar>
          </w:tcPr>
          <w:p>
            <w:pPr>
              <w:spacing w:after="0"/>
              <w:jc w:val="left"/>
            </w:pPr>
            <w:r>
              <w:rPr>
                <w:rFonts w:ascii="Calibri" w:hAnsi="Calibri"/>
                <w:color w:val="2D3748"/>
                <w:sz w:val="18"/>
              </w:rPr>
              <w:t>1:20 min</w:t>
            </w:r>
          </w:p>
        </w:tc>
        <w:tc>
          <w:tcPr>
            <w:tcW w:type="dxa" w:w="4176"/>
            <w:shd w:fill="F7FAFC"/>
            <w:tcMar>
              <w:top w:w="100" w:type="dxa"/>
              <w:bottom w:w="100" w:type="dxa"/>
              <w:left w:w="140" w:type="dxa"/>
              <w:right w:w="140" w:type="dxa"/>
            </w:tcMar>
          </w:tcPr>
          <w:p>
            <w:pPr>
              <w:spacing w:after="0"/>
              <w:jc w:val="left"/>
            </w:pPr>
            <w:r>
              <w:rPr>
                <w:rFonts w:ascii="Calibri" w:hAnsi="Calibri"/>
                <w:color w:val="2D3748"/>
                <w:sz w:val="18"/>
              </w:rPr>
              <w:t>Empirical Verification: 4 Verification Gates &amp; Benchmark Evidence</w:t>
            </w:r>
          </w:p>
        </w:tc>
      </w:tr>
      <w:tr>
        <w:tc>
          <w:tcPr>
            <w:tcW w:type="dxa" w:w="1440"/>
            <w:shd w:fill="FFFFFF"/>
            <w:tcMar>
              <w:top w:w="100" w:type="dxa"/>
              <w:bottom w:w="100" w:type="dxa"/>
              <w:left w:w="140" w:type="dxa"/>
              <w:right w:w="140" w:type="dxa"/>
            </w:tcMar>
          </w:tcPr>
          <w:p>
            <w:pPr>
              <w:spacing w:after="0"/>
              <w:jc w:val="left"/>
            </w:pPr>
            <w:r>
              <w:rPr>
                <w:rFonts w:ascii="Calibri" w:hAnsi="Calibri"/>
                <w:color w:val="2D3748"/>
                <w:sz w:val="18"/>
              </w:rPr>
              <w:t>Slide 8</w:t>
            </w:r>
          </w:p>
        </w:tc>
        <w:tc>
          <w:tcPr>
            <w:tcW w:type="dxa" w:w="2160"/>
            <w:shd w:fill="FFFFFF"/>
            <w:tcMar>
              <w:top w:w="100" w:type="dxa"/>
              <w:bottom w:w="100" w:type="dxa"/>
              <w:left w:w="140" w:type="dxa"/>
              <w:right w:w="140" w:type="dxa"/>
            </w:tcMar>
          </w:tcPr>
          <w:p>
            <w:pPr>
              <w:spacing w:after="0"/>
              <w:jc w:val="left"/>
            </w:pPr>
            <w:r>
              <w:rPr>
                <w:rFonts w:ascii="Calibri" w:hAnsi="Calibri"/>
                <w:color w:val="2D3748"/>
                <w:sz w:val="18"/>
              </w:rPr>
              <w:t>9:05 – 10:00</w:t>
            </w:r>
          </w:p>
        </w:tc>
        <w:tc>
          <w:tcPr>
            <w:tcW w:type="dxa" w:w="1584"/>
            <w:shd w:fill="FFFFFF"/>
            <w:tcMar>
              <w:top w:w="100" w:type="dxa"/>
              <w:bottom w:w="100" w:type="dxa"/>
              <w:left w:w="140" w:type="dxa"/>
              <w:right w:w="140" w:type="dxa"/>
            </w:tcMar>
          </w:tcPr>
          <w:p>
            <w:pPr>
              <w:spacing w:after="0"/>
              <w:jc w:val="left"/>
            </w:pPr>
            <w:r>
              <w:rPr>
                <w:rFonts w:ascii="Calibri" w:hAnsi="Calibri"/>
                <w:color w:val="2D3748"/>
                <w:sz w:val="18"/>
              </w:rPr>
              <w:t>0:55 min</w:t>
            </w:r>
          </w:p>
        </w:tc>
        <w:tc>
          <w:tcPr>
            <w:tcW w:type="dxa" w:w="4176"/>
            <w:shd w:fill="FFFFFF"/>
            <w:tcMar>
              <w:top w:w="100" w:type="dxa"/>
              <w:bottom w:w="100" w:type="dxa"/>
              <w:left w:w="140" w:type="dxa"/>
              <w:right w:w="140" w:type="dxa"/>
            </w:tcMar>
          </w:tcPr>
          <w:p>
            <w:pPr>
              <w:spacing w:after="0"/>
              <w:jc w:val="left"/>
            </w:pPr>
            <w:r>
              <w:rPr>
                <w:rFonts w:ascii="Calibri" w:hAnsi="Calibri"/>
                <w:color w:val="2D3748"/>
                <w:sz w:val="18"/>
              </w:rPr>
              <w:t>3D RViz2 Workspace Visuals, Capstone Verification Sign-Off, &amp; Conclusion</w:t>
            </w:r>
          </w:p>
        </w:tc>
      </w:tr>
    </w:tbl>
    <w:p>
      <w:pPr>
        <w:spacing w:after="160"/>
      </w:pP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2B6CB0"/>
              <w:top w:val="single" w:sz="6" w:space="0" w:color="CBD5E0"/>
              <w:bottom w:val="single" w:sz="6" w:space="0" w:color="CBD5E0"/>
              <w:right w:val="single" w:sz="6" w:space="0" w:color="CBD5E0"/>
            </w:tcBorders>
          </w:tcPr>
          <w:p>
            <w:pPr>
              <w:spacing w:after="80"/>
            </w:pPr>
            <w:r>
              <w:rPr>
                <w:rFonts w:ascii="Calibri" w:hAnsi="Calibri"/>
                <w:b/>
                <w:color w:val="0066CC"/>
                <w:sz w:val="21"/>
              </w:rPr>
              <w:t>SLIDE 1: EXECUTIVE HOOK &amp; OPERATIONAL THREAT MODEL  [0:00 – 1:05 (Elapsed: 1:05)]</w:t>
            </w:r>
          </w:p>
          <w:p>
            <w:pPr>
              <w:spacing w:after="40"/>
            </w:pPr>
            <w:r>
              <w:rPr>
                <w:b/>
                <w:color w:val="4A5568"/>
                <w:sz w:val="18"/>
              </w:rPr>
              <w:t xml:space="preserve">Visual Display Elements: </w:t>
            </w:r>
            <w:r>
              <w:rPr>
                <w:i/>
                <w:color w:val="2D3748"/>
                <w:sz w:val="18"/>
              </w:rPr>
              <w:t>Fleet Overview Diagram (6 USVs encircling target) + Threat Model Breakdown Matrix (Thruster Foul, GPS Drift, Link Drop).</w:t>
            </w:r>
          </w:p>
          <w:p>
            <w:pPr>
              <w:spacing w:after="40"/>
            </w:pPr>
            <w:r>
              <w:rPr>
                <w:b/>
                <w:color w:val="4A5568"/>
                <w:sz w:val="18"/>
              </w:rPr>
              <w:t xml:space="preserve">Featured Metrics / Formulas: </w:t>
            </w:r>
            <w:r>
              <w:rPr>
                <w:color w:val="0A2540"/>
                <w:sz w:val="18"/>
              </w:rPr>
              <w:t>Key Achievements: 0.0% Collision Invariant | 98.44% FDI Accuracy | MTTR = 38.5s under 30% Thruster &amp; 40% Packet Loss.</w:t>
            </w:r>
          </w:p>
        </w:tc>
      </w:tr>
    </w:tbl>
    <w:p>
      <w:pPr>
        <w:spacing w:after="80"/>
      </w:pPr>
    </w:p>
    <w:p>
      <w:pPr>
        <w:spacing w:before="40" w:after="160" w:line="276" w:lineRule="auto"/>
        <w:ind w:left="360"/>
      </w:pPr>
      <w:r>
        <w:rPr>
          <w:rFonts w:ascii="Calibri" w:hAnsi="Calibri"/>
          <w:b/>
          <w:color w:val="0A2540"/>
          <w:sz w:val="20"/>
        </w:rPr>
        <w:t>Verbatim Speaker Script:</w:t>
        <w:br/>
      </w:r>
      <w:r>
        <w:rPr>
          <w:rFonts w:ascii="Calibri" w:hAnsi="Calibri"/>
          <w:i/>
          <w:color w:val="2D3748"/>
          <w:sz w:val="20"/>
        </w:rPr>
        <w:t>"Good morning, esteemed members of the panel. Today, I am presenting our capstone engineering deliverable: a Fault-Aware Multi-Agent Unmanned Surface Vehicle (USV) Swarm designed for resilient autonomous tracking and non-destructive maritime interdiction. In real-world naval operations—such as harbor perimeter defense, anti-piracy, and high-seas interdiction—conventional autonomous architectures suffer from a critical flaw: centralized brittleness. When a centralized base station or mothership loses line-of-sight communications, or when individual vessels suffer propeller fouling from marine debris or GPS drift, traditional swarms lose coordination or collide. To solve this, our project delivers a fully decentralized, fault-resilient multi-agent architecture capable of coordinating N = 4 to 10 surface vessels against an agile, reactive target. We evaluate our system under a simultaneous multi-threat envelope: up to 30% physical thruster attenuation, persistent GPS sensor drift, and up to 40% communication link packet drop. Our implementation delivers four verified engineering breakthroughs: First, a provable 0.0% collision rate invariant mathematically guaranteed by analytical Control Barrier Functions; Second, an onboard sliding-window XGBoost fault diagnosis engine achieving 98.44% accuracy and a 0.9880 Macro-F1 score; Third, autonomous dynamic Hungarian role reallocation that demotes failing vessels to escort roles within 3 seconds without human intervention; and Fourth, a seamless dual-stage architecture bridging high-throughput vectorized reinforcement learning in Python 3.11 with a distributed, 9-package ROS 2 Lyrical stack operating natively on Ubuntu 26.04. Let us examine the mathematical foundations governing these vessels."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2B6CB0"/>
              <w:top w:val="single" w:sz="6" w:space="0" w:color="CBD5E0"/>
              <w:bottom w:val="single" w:sz="6" w:space="0" w:color="CBD5E0"/>
              <w:right w:val="single" w:sz="6" w:space="0" w:color="CBD5E0"/>
            </w:tcBorders>
          </w:tcPr>
          <w:p>
            <w:pPr>
              <w:spacing w:after="80"/>
            </w:pPr>
            <w:r>
              <w:rPr>
                <w:rFonts w:ascii="Calibri" w:hAnsi="Calibri"/>
                <w:b/>
                <w:color w:val="0066CC"/>
                <w:sz w:val="21"/>
              </w:rPr>
              <w:t>SLIDE 2: MATHEMATICAL MODELING: HYDRODYNAMICS &amp; CONTAINMENT DYNAMICS  [1:05 – 2:20 (Elapsed: 2:20)]</w:t>
            </w:r>
          </w:p>
          <w:p>
            <w:pPr>
              <w:spacing w:after="40"/>
            </w:pPr>
            <w:r>
              <w:rPr>
                <w:b/>
                <w:color w:val="4A5568"/>
                <w:sz w:val="18"/>
              </w:rPr>
              <w:t xml:space="preserve">Visual Display Elements: </w:t>
            </w:r>
            <w:r>
              <w:rPr>
                <w:i/>
                <w:color w:val="2D3748"/>
                <w:sz w:val="18"/>
              </w:rPr>
              <w:t>3-DOF Catamaran Coordinate Frame (Surge, Sway, Yaw) + Target Centroid Evasion &amp; Deceleration Trajectory Curves.</w:t>
            </w:r>
          </w:p>
          <w:p>
            <w:pPr>
              <w:spacing w:after="40"/>
            </w:pPr>
            <w:r>
              <w:rPr>
                <w:b/>
                <w:color w:val="4A5568"/>
                <w:sz w:val="18"/>
              </w:rPr>
              <w:t xml:space="preserve">Featured Metrics / Formulas: </w:t>
            </w:r>
            <w:r>
              <w:rPr>
                <w:color w:val="0A2540"/>
                <w:sz w:val="18"/>
              </w:rPr>
              <w:t>Equations: M ν̇ + C(ν)ν + D(ν)ν = τ + τ_drift | M = diag(20.0 kg, 28.0 kg, 3.6 kg·m²) | Section 5 Encirclement Rubric.</w:t>
            </w:r>
          </w:p>
        </w:tc>
      </w:tr>
    </w:tbl>
    <w:p>
      <w:pPr>
        <w:spacing w:after="80"/>
      </w:pPr>
    </w:p>
    <w:p>
      <w:pPr>
        <w:spacing w:before="40" w:after="160" w:line="276" w:lineRule="auto"/>
        <w:ind w:left="360"/>
      </w:pPr>
      <w:r>
        <w:rPr>
          <w:rFonts w:ascii="Calibri" w:hAnsi="Calibri"/>
          <w:b/>
          <w:color w:val="0A2540"/>
          <w:sz w:val="20"/>
        </w:rPr>
        <w:t>Verbatim Speaker Script:</w:t>
        <w:br/>
      </w:r>
      <w:r>
        <w:rPr>
          <w:rFonts w:ascii="Calibri" w:hAnsi="Calibri"/>
          <w:i/>
          <w:color w:val="2D3748"/>
          <w:sz w:val="20"/>
        </w:rPr>
        <w:t>"Each USV in our fleet is governed by the non-linear 3-Degree-of-Freedom horizontal equations of motion formulated by Fossen and Norrbin. We model inertial pose η = [x, y, ψ]^T and body velocities ν = [u, v, r]^T, representing surge, sway, and yaw rate. Crucially, we do not simplify the physics to unicycle or bicycle kinematics. Our mass matrix M explicitly incorporates rigid-body mass at 18.0 kg and hydrodynamic added mass derivatives: X_u̇ = -2.0 kg, Y_v̇ = -10.0 kg, and N_ṙ = -1.0 kg·m², reflecting the lateral water inertia of twin-pontoon catamarans. The Coriolis-centripetal matrix C(ν) and the damping matrix D(ν) capture non-linear skin friction and quadratic turbulent flow drag, with X_uu = 35.0 and Y_vv = 80.0. We integrate these continuous dynamics using a 4th-Order Runge-Kutta (RK4) numerical integrator at 20 Hz in ROS 2 and 10 Hz in learning, guaranteeing numerical energy dissipation. For our adversary, we modeled a reactive target vessel with three operational modes: constant cruise, sinusoidal weaving, and reactive centroid evasion. When surrounding trackers close to within 25 meters, the target computes their geometric centroid c_bar. If centroid error exceeds 6 meters, the target dashes away into open water at 1.5 m/s. However, once our swarm establishes a symmetric encirclement perimeter, the target recognizes escape is blocked and systematically decelerates to under 0.20 m/s. This mission is strictly governed by the Section 5 Capstone Encirclement Rubric: maintaining a standoff radius of 20.0 ± 3.0 m, an angular spread exceeding 2π(1 - 1/N) with a physical wave tolerance of 0.15 rad, a maximum angular gap bounded by (2π/N) * 1.5, and a mandatory 5.0-second debounce filter before declaring containment success."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2B6CB0"/>
              <w:top w:val="single" w:sz="6" w:space="0" w:color="CBD5E0"/>
              <w:bottom w:val="single" w:sz="6" w:space="0" w:color="CBD5E0"/>
              <w:right w:val="single" w:sz="6" w:space="0" w:color="CBD5E0"/>
            </w:tcBorders>
          </w:tcPr>
          <w:p>
            <w:pPr>
              <w:spacing w:after="80"/>
            </w:pPr>
            <w:r>
              <w:rPr>
                <w:rFonts w:ascii="Calibri" w:hAnsi="Calibri"/>
                <w:b/>
                <w:color w:val="0066CC"/>
                <w:sz w:val="21"/>
              </w:rPr>
              <w:t>SLIDE 3: DUAL-RUNTIME ARCHITECTURE &amp; 9-PACKAGE DISTRIBUTED ROS 2 STACK  [2:20 – 3:45 (Elapsed: 3:45)]</w:t>
            </w:r>
          </w:p>
          <w:p>
            <w:pPr>
              <w:spacing w:after="40"/>
            </w:pPr>
            <w:r>
              <w:rPr>
                <w:b/>
                <w:color w:val="4A5568"/>
                <w:sz w:val="18"/>
              </w:rPr>
              <w:t xml:space="preserve">Visual Display Elements: </w:t>
            </w:r>
            <w:r>
              <w:rPr>
                <w:i/>
                <w:color w:val="2D3748"/>
                <w:sz w:val="18"/>
              </w:rPr>
              <w:t>Dual-Runtime Environment Map (Conda Py3.11 for ML vs Ubuntu 26.04 System Py3.14 for ROS 2) + 9 Custom Packages Diagram.</w:t>
            </w:r>
          </w:p>
          <w:p>
            <w:pPr>
              <w:spacing w:after="40"/>
            </w:pPr>
            <w:r>
              <w:rPr>
                <w:b/>
                <w:color w:val="4A5568"/>
                <w:sz w:val="18"/>
              </w:rPr>
              <w:t xml:space="preserve">Featured Metrics / Formulas: </w:t>
            </w:r>
            <w:r>
              <w:rPr>
                <w:color w:val="0A2540"/>
                <w:sz w:val="18"/>
              </w:rPr>
              <w:t>ROS 2 Interfaces: usv_msgs (HealthBelief, RoleAssignment, TargetBelief, MissionStatus, RecoveryEvent) over CycloneDDS.</w:t>
            </w:r>
          </w:p>
        </w:tc>
      </w:tr>
    </w:tbl>
    <w:p>
      <w:pPr>
        <w:spacing w:after="80"/>
      </w:pPr>
    </w:p>
    <w:p>
      <w:pPr>
        <w:spacing w:before="40" w:after="160" w:line="276" w:lineRule="auto"/>
        <w:ind w:left="360"/>
      </w:pPr>
      <w:r>
        <w:rPr>
          <w:rFonts w:ascii="Calibri" w:hAnsi="Calibri"/>
          <w:b/>
          <w:color w:val="0A2540"/>
          <w:sz w:val="20"/>
        </w:rPr>
        <w:t>Verbatim Speaker Script:</w:t>
        <w:br/>
      </w:r>
      <w:r>
        <w:rPr>
          <w:rFonts w:ascii="Calibri" w:hAnsi="Calibri"/>
          <w:i/>
          <w:color w:val="2D3748"/>
          <w:sz w:val="20"/>
        </w:rPr>
        <w:t>"A central engineering challenge in deploying modern robotics is bridging bleeding-edge machine learning toolchains with LTS robotic middleware. Ubuntu 26.04 ships with ROS 2 Lyrical linked natively against Python 3.14. However, PyTorch 2.14, CUDA 13.0, and GPU-accelerated XGBoost 3.2 are distributed with C-Python 3.11 ABI wheels. Forcing both into a single interpreter causes catastrophic glibc symbol collisions. To solve this, we implemented an isolated Dual-Runtime Architecture: In Stage 1, we leverage a dedicated Conda Python 3.11 environment to execute vectorized PettingZoo parallel rollouts, train our XGBoost fault classifier, and export platform-independent serialized models: xgb_diagnosis.json and TorchScript actor weights fa_mappo_actor.pt. In Stage 2, our physical deployment executes natively under Ubuntu 26.04 Python 3.14 and ROS 2 Lyrical across 9 modular packages. Let us walk through the working modules representing our operational scope: First, usv_msgs defines our custom strongly-typed DDS interfaces. Second, usv_sim_core executes our native 20 Hz multi-agent 3-DOF RK4 continuous physical simulation. Third, usv_perception_mesh runs at 10 Hz, modeling range-limited gossip perception (35 m) and simulating stochastic packet loss. Fourth, usv_health_diagnosis runs at 10 Hz, extracting sliding-window residuals and loading our serialized XGBoost model to broadcast composite health indices. Fifth, usv_recovery_planner executes our 10 Hz dynamic Hungarian role allocator and evaluates Section 5 encirclement criteria. Sixth, usv_policy_marl translates target beliefs into nominal surge and yaw commands. Seventh, usv_safety_shield acts as an analytical 20 Hz Control Barrier Function governor. Eighth, usv_fault_injector coordinates scheduled runtime thruster and network degradations. And ninth, usv_bringup orchestrates multi-node execution and anti-flicker 3D RViz2 visualization. Now, let us examine the algorithms that power autonomous fault resilience."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2B6CB0"/>
              <w:top w:val="single" w:sz="6" w:space="0" w:color="CBD5E0"/>
              <w:bottom w:val="single" w:sz="6" w:space="0" w:color="CBD5E0"/>
              <w:right w:val="single" w:sz="6" w:space="0" w:color="CBD5E0"/>
            </w:tcBorders>
          </w:tcPr>
          <w:p>
            <w:pPr>
              <w:spacing w:after="80"/>
            </w:pPr>
            <w:r>
              <w:rPr>
                <w:rFonts w:ascii="Calibri" w:hAnsi="Calibri"/>
                <w:b/>
                <w:color w:val="0066CC"/>
                <w:sz w:val="21"/>
              </w:rPr>
              <w:t>SLIDE 4: CORE ALGORITHMIC PIPELINE &amp; ANALYTICAL SAFETY SHIELD  [3:45 – 5:00 (Elapsed: 5:00)]</w:t>
            </w:r>
          </w:p>
          <w:p>
            <w:pPr>
              <w:spacing w:after="40"/>
            </w:pPr>
            <w:r>
              <w:rPr>
                <w:b/>
                <w:color w:val="4A5568"/>
                <w:sz w:val="18"/>
              </w:rPr>
              <w:t xml:space="preserve">Visual Display Elements: </w:t>
            </w:r>
            <w:r>
              <w:rPr>
                <w:i/>
                <w:color w:val="2D3748"/>
                <w:sz w:val="18"/>
              </w:rPr>
              <w:t>Flowchart: 14 Telemetry Residuals -&gt; XGBoost Classifier -&gt; Health h_i(t) -&gt; Hungarian Cost Matrix -&gt; 20 Hz CBF Shield.</w:t>
            </w:r>
          </w:p>
          <w:p>
            <w:pPr>
              <w:spacing w:after="40"/>
            </w:pPr>
            <w:r>
              <w:rPr>
                <w:b/>
                <w:color w:val="4A5568"/>
                <w:sz w:val="18"/>
              </w:rPr>
              <w:t xml:space="preserve">Featured Metrics / Formulas: </w:t>
            </w:r>
            <w:r>
              <w:rPr>
                <w:color w:val="0A2540"/>
                <w:sz w:val="18"/>
              </w:rPr>
              <w:t>Formulas: h_i(t) = P(HEALTHY) + 0.50 P(GPS) + P(THRUST)*η_thrust + 0.40 P(LINK) | C_{i,s} = ||p_i - p_s|| + Penalty + H_{i,s}.</w:t>
            </w:r>
          </w:p>
        </w:tc>
      </w:tr>
    </w:tbl>
    <w:p>
      <w:pPr>
        <w:spacing w:after="80"/>
      </w:pPr>
    </w:p>
    <w:p>
      <w:pPr>
        <w:spacing w:before="40" w:after="160" w:line="276" w:lineRule="auto"/>
        <w:ind w:left="360"/>
      </w:pPr>
      <w:r>
        <w:rPr>
          <w:rFonts w:ascii="Calibri" w:hAnsi="Calibri"/>
          <w:b/>
          <w:color w:val="0A2540"/>
          <w:sz w:val="20"/>
        </w:rPr>
        <w:t>Verbatim Speaker Script:</w:t>
        <w:br/>
      </w:r>
      <w:r>
        <w:rPr>
          <w:rFonts w:ascii="Calibri" w:hAnsi="Calibri"/>
          <w:i/>
          <w:color w:val="2D3748"/>
          <w:sz w:val="20"/>
        </w:rPr>
        <w:t>"Our algorithmic resilience relies on three tightly coupled, mathematically rigorous innovations: First is Supervised Fault Detection &amp; Identification (XGBoost FDI). Every USV continuously extracts a 14-dimensional sliding-window residual vector across a 10-tick physical history. It tracks GPS-versus-dead-reckoning position errors, surge and yaw rate tracking residuals, perception dropouts, comms loss rates, and battery drain. Our trained XGBoost decision forest classifies telemetry into four operational states and computes a continuous Composite Health Index h_i(t). When thruster efficiency degrades, h_i(t) drops below 0.50, triggering immediate reallocation. Second is our Dynamic Hungarian Role Allocator with Hysteresis. Conventional matching algorithms suffer from role chattering—vessels rapidly flip-flopping between slots when crossing spatial midpoints. We eliminated this by engineering a custom cost matrix: C_{i, s} = ||p_i - p_s^{slot}|| + Penalty(h_i, role_s) + H_{i, s}. Degraded vessels (h_i &lt; 0.50) receive a massive +150.0 * (1 - h_i) penalty for occupying ring tracker slots, forcing an immediate hand-off, while receiving a -40.0 incentive to take low-thrust relay roles. To eradicate chattering, we inject an assignment hysteresis bonus of H_{i, s} = -15.0 for previously held slots. This creates an energetic potential barrier of 15 cost units that stabilizes the fleet. Third, and most importantly, is our Analytical Control Barrier Function (CBF) Hard Safety Shield. In enterprise robotics, unconstrained neural networks or guidance policies must never touch physical thrusters directly. Operating at 20 Hz, our CBF shield monitors pairwise separation h_ij = ||p_i - p_j||^2 - d_safe^2 &gt;= 0, with a hard boundary of d_safe = 4.0 m and a warning envelope of 10.0 m. If a neighbor breaches 10 meters, forward speed is smoothly scaled down via scaling factor λ_ij, and an evasive yaw rate r_safe is blended into steering. If separation reaches 5.0 meters, forward speed is clamped unconditionally to zero, converting kinetic energy into pure rotational yaw avoidance. This analytical gatekeeper guarantees zero collisions mathematically."</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2B6CB0"/>
              <w:top w:val="single" w:sz="6" w:space="0" w:color="CBD5E0"/>
              <w:bottom w:val="single" w:sz="6" w:space="0" w:color="CBD5E0"/>
              <w:right w:val="single" w:sz="6" w:space="0" w:color="CBD5E0"/>
            </w:tcBorders>
          </w:tcPr>
          <w:p>
            <w:pPr>
              <w:spacing w:after="80"/>
            </w:pPr>
            <w:r>
              <w:rPr>
                <w:rFonts w:ascii="Calibri" w:hAnsi="Calibri"/>
                <w:b/>
                <w:color w:val="0066CC"/>
                <w:sz w:val="21"/>
              </w:rPr>
              <w:t>SLIDE 5: KEY ENGINEERING CHALLENGES &amp; IMPLEMENTED MITIGATIONS  [5:00 – 6:15 (Elapsed: 6:15)]</w:t>
            </w:r>
          </w:p>
          <w:p>
            <w:pPr>
              <w:spacing w:after="40"/>
            </w:pPr>
            <w:r>
              <w:rPr>
                <w:b/>
                <w:color w:val="4A5568"/>
                <w:sz w:val="18"/>
              </w:rPr>
              <w:t xml:space="preserve">Visual Display Elements: </w:t>
            </w:r>
            <w:r>
              <w:rPr>
                <w:i/>
                <w:color w:val="2D3748"/>
                <w:sz w:val="18"/>
              </w:rPr>
              <w:t>Challenges Table: Momentum Coupling, Role Chattering, RL Safety Risks, C-ABI Clashes, Sensor Drift &amp; Thruster Degradation.</w:t>
            </w:r>
          </w:p>
          <w:p>
            <w:pPr>
              <w:spacing w:after="40"/>
            </w:pPr>
            <w:r>
              <w:rPr>
                <w:b/>
                <w:color w:val="4A5568"/>
                <w:sz w:val="18"/>
              </w:rPr>
              <w:t xml:space="preserve">Featured Metrics / Formulas: </w:t>
            </w:r>
            <w:r>
              <w:rPr>
                <w:color w:val="0A2540"/>
                <w:sz w:val="18"/>
              </w:rPr>
              <w:t>Mitigation Highlights: RK4 Stopping Buffers, Hungarian Hysteresis H=-15.0, Decoupled 20 Hz CBF Shield, Dual-Runtime Separation.</w:t>
            </w:r>
          </w:p>
        </w:tc>
      </w:tr>
    </w:tbl>
    <w:p>
      <w:pPr>
        <w:spacing w:after="80"/>
      </w:pPr>
    </w:p>
    <w:p>
      <w:pPr>
        <w:spacing w:before="40" w:after="160" w:line="276" w:lineRule="auto"/>
        <w:ind w:left="360"/>
      </w:pPr>
      <w:r>
        <w:rPr>
          <w:rFonts w:ascii="Calibri" w:hAnsi="Calibri"/>
          <w:b/>
          <w:color w:val="0A2540"/>
          <w:sz w:val="20"/>
        </w:rPr>
        <w:t>Verbatim Speaker Script:</w:t>
        <w:br/>
      </w:r>
      <w:r>
        <w:rPr>
          <w:rFonts w:ascii="Calibri" w:hAnsi="Calibri"/>
          <w:i/>
          <w:color w:val="2D3748"/>
          <w:sz w:val="20"/>
        </w:rPr>
        <w:t>"Building an autonomous maritime system exposed five critical engineering challenges, each resolved with production-grade mitigations: First: Non-linear Hydrodynamic Momentum and Cross-Coupling. Surface craft exhibit slow braking and high sway-yaw coupling. Simple kinematic unicycle models produce massive overshoot during tight encirclement. We mitigated this by incorporating full 3-DOF added mass and non-linear drag into our guidance loop, backed by forward stopping-distance buffers calculated from body-fixed surge deceleration limits. Second: Dynamic Role Chattering. When the evasive target weaves laterally, vessels frequently swapped ring assignments multiple times per second, burning fuel and stalling forward progress. Mitigated by our -15.0 hysteresis cost bias, reducing assignment switching frequency to 0.0 Hz during nominal tracking. Third: RL Collision Hazards. Pure reinforcement learning reward penalties only discourage collisions statistically. Under sudden target maneuvers, black-box networks occasionally violate safety boundaries. We mitigated this by completely decoupling policy optimization from safety enforcement: the MARL policy proposes nominal actions, but the analytical CBF filter overrides them if the 4.0-meter barrier is threatened. Fourth: Python C-ABI Clashes. System Python 3.14 in Ubuntu 26.04 clashed with PyTorch and XGBoost binary wheels. Mitigated by our Dual-Runtime design, passing universal JSON model files and TorchScript weights across runtime boundaries. Fifth: Distinguishing Environmental Wave Disturbances from True Hardware Faults. A vessel surfing a rogue wave experiences transient surge velocity discrepancies that mimic thruster loss. By using a 10-tick sliding window and extracting 14 coupled statistical features—variance, linear trend, and cross-sensor correlations—our XGBoost model ignores transient hydrodynamics while detecting true actuator degradation with 99.82% recall. Now, let us delve into a critical specialized challenge: multi-node wireless communications on a shared frequency band."</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2B6CB0"/>
              <w:top w:val="single" w:sz="6" w:space="0" w:color="CBD5E0"/>
              <w:bottom w:val="single" w:sz="6" w:space="0" w:color="CBD5E0"/>
              <w:right w:val="single" w:sz="6" w:space="0" w:color="CBD5E0"/>
            </w:tcBorders>
          </w:tcPr>
          <w:p>
            <w:pPr>
              <w:spacing w:after="80"/>
            </w:pPr>
            <w:r>
              <w:rPr>
                <w:rFonts w:ascii="Calibri" w:hAnsi="Calibri"/>
                <w:b/>
                <w:color w:val="0066CC"/>
                <w:sz w:val="21"/>
              </w:rPr>
              <w:t>SLIDE 6: IN-DEPTH STUDY: CO-CHANNEL CONTENTION &amp; MULTI-LAYER MITIGATIONS  [6:15 – 7:45 (Elapsed: 7:45)]</w:t>
            </w:r>
          </w:p>
          <w:p>
            <w:pPr>
              <w:spacing w:after="40"/>
            </w:pPr>
            <w:r>
              <w:rPr>
                <w:b/>
                <w:color w:val="4A5568"/>
                <w:sz w:val="18"/>
              </w:rPr>
              <w:t xml:space="preserve">Visual Display Elements: </w:t>
            </w:r>
            <w:r>
              <w:rPr>
                <w:i/>
                <w:color w:val="2D3748"/>
                <w:sz w:val="18"/>
              </w:rPr>
              <w:t>Ring Topology Diagram showing Hidden Node Problem (40m across ring) + Multi-Layer Mitigation Architecture Stack.</w:t>
            </w:r>
          </w:p>
          <w:p>
            <w:pPr>
              <w:spacing w:after="40"/>
            </w:pPr>
            <w:r>
              <w:rPr>
                <w:b/>
                <w:color w:val="4A5568"/>
                <w:sz w:val="18"/>
              </w:rPr>
              <w:t xml:space="preserve">Featured Metrics / Formulas: </w:t>
            </w:r>
            <w:r>
              <w:rPr>
                <w:color w:val="0A2540"/>
                <w:sz w:val="18"/>
              </w:rPr>
              <w:t>Mitigation Stack: Layer 1 Synchronized TDMA (GPS 1PPS) | Layer 2 Clustered Gossip (k=3) | Layer 3 Event-Triggered Delta QoS.</w:t>
            </w:r>
          </w:p>
        </w:tc>
      </w:tr>
    </w:tbl>
    <w:p>
      <w:pPr>
        <w:spacing w:after="80"/>
      </w:pPr>
    </w:p>
    <w:p>
      <w:pPr>
        <w:spacing w:before="40" w:after="160" w:line="276" w:lineRule="auto"/>
        <w:ind w:left="360"/>
      </w:pPr>
      <w:r>
        <w:rPr>
          <w:rFonts w:ascii="Calibri" w:hAnsi="Calibri"/>
          <w:b/>
          <w:color w:val="0A2540"/>
          <w:sz w:val="20"/>
        </w:rPr>
        <w:t>Verbatim Speaker Script:</w:t>
        <w:br/>
      </w:r>
      <w:r>
        <w:rPr>
          <w:rFonts w:ascii="Calibri" w:hAnsi="Calibri"/>
          <w:i/>
          <w:color w:val="2D3748"/>
          <w:sz w:val="20"/>
        </w:rPr>
        <w:t>"A foundational question in swarm robotics is: How do we handle real-time communication across nodes operating on the exact same frequency band? At sea, radio propagation directly over conductive water suffers from intense two-ray ground reflections, causing Rayleigh fading dips up to 30 dB. Furthermore, because USV antennas are mounted low (under 1.5 meters), wave crests frequently obstruct the first Fresnel zone, causing severe wave shadowing. When N = 6 to 10 vessels share a single RF channel using standard uncoordinated CSMA/CA—such as standard WiFi—three catastrophic phenomena occur: First, the Hidden Node Problem: vessels on opposite sides of our 20-meter standoff ring are 40 meters apart, often below each other's carrier-sensing threshold. Both transmit simultaneously to an intermediate vessel, destroying packets at the receiver. Second, the Near-Far Effect: closer vessels overpower distant nodes, capturing the channel. And third, CSMA/CA Backoff Cascades: high collision rates cause exponential backoff windows to expand, driving latency from under 5 milliseconds to over 150 milliseconds. In a robotics swarm, this contention degrades operations severely: target state covariances in our distributed EKF blow up; out-of-sync Hungarian role assignments create spatial conflicts; and Control Barrier Function boundary lag risks hull collisions because neighbor position packets arrive late. To solve this, we engineered a comprehensive Three-Layer Mitigation Architecture: At the Physical and MAC Layer, we replace non-deterministic CSMA/CA with Synchronized Time-Division Multiple Access (TDMA). Using GPS 1PPS (Pulse-Per-Second) or IEEE 1588 PTP, the swarm synchronizes clocks to sub-microsecond precision. We subdivide each 100 ms control frame into ten dedicated 10 ms time slots. Each USV transmits exclusively in its assigned slot. Co-channel packet collisions are mathematically eliminated (0.0% collision rate). At the Network Layer, we replace all-to-all broadcast flooding with Clustered Gossip Pruning. Vessels transmit state vectors only to their k=3 nearest neighbors and a designated cluster head, cutting network load from O(N^2) to O(N). At the Robotics Application Layer, we implement Event-Triggered Delta Broadcasting: nodes only transmit telemetry when their kinematic change exceeds thresholds—specifically ||Δp|| &gt; 0.25 m or |Δψ| &gt; 5 deg—suppressing 70% of network traffic during steady-state tracking. Furthermore, we enforce strict 4-Tier QoS Priority Queuing: Tier 0 CBF collision beacons preempt all other traffic, followed by target beliefs, health status, and debug logs. When packets are delayed, receiving nodes execute local kinematic dead reckoning with covariance inflation to maintain provable safety buffers. Let us now examine the empirical verification data validating this entire architecture."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2B6CB0"/>
              <w:top w:val="single" w:sz="6" w:space="0" w:color="CBD5E0"/>
              <w:bottom w:val="single" w:sz="6" w:space="0" w:color="CBD5E0"/>
              <w:right w:val="single" w:sz="6" w:space="0" w:color="CBD5E0"/>
            </w:tcBorders>
          </w:tcPr>
          <w:p>
            <w:pPr>
              <w:spacing w:after="80"/>
            </w:pPr>
            <w:r>
              <w:rPr>
                <w:rFonts w:ascii="Calibri" w:hAnsi="Calibri"/>
                <w:b/>
                <w:color w:val="0066CC"/>
                <w:sz w:val="21"/>
              </w:rPr>
              <w:t>SLIDE 7: EMPIRICAL VERIFICATION: 4 VERIFICATION GATES &amp; BENCHMARK EVIDENCE  [7:45 – 9:05 (Elapsed: 9:05)]</w:t>
            </w:r>
          </w:p>
          <w:p>
            <w:pPr>
              <w:spacing w:after="40"/>
            </w:pPr>
            <w:r>
              <w:rPr>
                <w:b/>
                <w:color w:val="4A5568"/>
                <w:sz w:val="18"/>
              </w:rPr>
              <w:t xml:space="preserve">Visual Display Elements: </w:t>
            </w:r>
            <w:r>
              <w:rPr>
                <w:i/>
                <w:color w:val="2D3748"/>
                <w:sz w:val="18"/>
              </w:rPr>
              <w:t>Grid of 4 Verification Gates: Gate 1 (Unit 6/6), Gate 2 (XGBoost 98.44%), Gate 3 (3x3 Sweep 0.0% Collisions), Gate 4 (ROS 2 Trace).</w:t>
            </w:r>
          </w:p>
          <w:p>
            <w:pPr>
              <w:spacing w:after="40"/>
            </w:pPr>
            <w:r>
              <w:rPr>
                <w:b/>
                <w:color w:val="4A5568"/>
                <w:sz w:val="18"/>
              </w:rPr>
              <w:t xml:space="preserve">Featured Metrics / Formulas: </w:t>
            </w:r>
            <w:r>
              <w:rPr>
                <w:color w:val="0A2540"/>
                <w:sz w:val="18"/>
              </w:rPr>
              <w:t>Visuals: 4x4 Confusion Matrix Table + 3x3 Parametric Matrix Table showing 0.0% Collisions &amp; MTTR = 38.5s.</w:t>
            </w:r>
          </w:p>
        </w:tc>
      </w:tr>
    </w:tbl>
    <w:p>
      <w:pPr>
        <w:spacing w:after="80"/>
      </w:pPr>
    </w:p>
    <w:p>
      <w:pPr>
        <w:spacing w:before="40" w:after="160" w:line="276" w:lineRule="auto"/>
        <w:ind w:left="360"/>
      </w:pPr>
      <w:r>
        <w:rPr>
          <w:rFonts w:ascii="Calibri" w:hAnsi="Calibri"/>
          <w:b/>
          <w:color w:val="0A2540"/>
          <w:sz w:val="20"/>
        </w:rPr>
        <w:t>Verbatim Speaker Script:</w:t>
        <w:br/>
      </w:r>
      <w:r>
        <w:rPr>
          <w:rFonts w:ascii="Calibri" w:hAnsi="Calibri"/>
          <w:i/>
          <w:color w:val="2D3748"/>
          <w:sz w:val="20"/>
        </w:rPr>
        <w:t>"Every architectural claim in our report is backed by empirical verification logs stored directly in the repository: In Gate 1: Automated Unit Regression, our automated PyTest suite passed 6 out of 6 mission-critical tests in 0.36 seconds, validating RK4 numerical stability, reactive target deceleration, Hungarian demotion, head-on CBF safety invariance, Section 5 rubric math, and fault injection. In Gate 2: Fault Diagnosis Evaluation, we evaluated our trained XGBoost classifier against 3,905 holdout domain-randomized sliding windows. The model achieved an Overall Accuracy of 98.44% and a Macro-F1 score of 0.9880, far surpassing our capstone target of 0.9000. Looking at our 4x4 confusion matrix, GPS fault detection achieved 100% precision and recall; thruster fault detection achieved 100% precision and 99.82% recall; and comms link loss achieved 96.13% precision and 97.56% recall. In Gate 3: Stage 1 3x3 Fault Sweep Benchmark, we subjected 6 USVs pursuing a reactive target to a full parametric sweep across 9 operational regimes—combining 0%, 15%, and 30% node thruster degradation with 0%, 20%, and 40% network packet loss. Crucially, across all 9 cells, the Collision Invariant Violation Rate remained strictly 0.0%. Even under maximum adversity—30% thruster loss combined with 40% packet drop—the swarm achieved target containment with an MTTR of 38.50 seconds. Finally, in Gate 4: Stage 2 ROS 2 Live Deployment, we executed our complete 9-package stack in closed-loop simulation: At t = 6.0 s, the swarm achieves nominal encirclement: angular spread of 4.71 rad passes Criterion 1, max gap of 1.58 rad passes Criterion 2, with zero collisions. At t = 15.0 s, usv_fault_injector cuts USV-1's thruster authority down to 35%. At t = 18.0 s, usv_health_diagnosis detects surge velocity lag and flags USV-1's health at h_1 = 0.50. At t = 20.0 s, usv_recovery_planner demotes degraded USV-1 from the active ring to a standoff relay position, while promoting healthy scout USV-4 to take its place in the 20-meter ring. By t = 22.0 s, encirclement geometry is fully restored with zero human intervention."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left w:val="single" w:sz="36" w:space="0" w:color="2B6CB0"/>
              <w:top w:val="single" w:sz="6" w:space="0" w:color="CBD5E0"/>
              <w:bottom w:val="single" w:sz="6" w:space="0" w:color="CBD5E0"/>
              <w:right w:val="single" w:sz="6" w:space="0" w:color="CBD5E0"/>
            </w:tcBorders>
          </w:tcPr>
          <w:p>
            <w:pPr>
              <w:spacing w:after="80"/>
            </w:pPr>
            <w:r>
              <w:rPr>
                <w:rFonts w:ascii="Calibri" w:hAnsi="Calibri"/>
                <w:b/>
                <w:color w:val="0066CC"/>
                <w:sz w:val="21"/>
              </w:rPr>
              <w:t>SLIDE 8: 3D VISUALIZATION, VERIFICATION SIGN-OFF, &amp; CONCLUSION  [9:05 – 10:00 (Elapsed: 10:00)]</w:t>
            </w:r>
          </w:p>
          <w:p>
            <w:pPr>
              <w:spacing w:after="40"/>
            </w:pPr>
            <w:r>
              <w:rPr>
                <w:b/>
                <w:color w:val="4A5568"/>
                <w:sz w:val="18"/>
              </w:rPr>
              <w:t xml:space="preserve">Visual Display Elements: </w:t>
            </w:r>
            <w:r>
              <w:rPr>
                <w:i/>
                <w:color w:val="2D3748"/>
                <w:sz w:val="18"/>
              </w:rPr>
              <w:t>3D RViz2 Oceanic Workspace Rendering: Twin-pontoon hulls, stern wakes, cyan gossip lines, 20m ring, 6m arrest disk, fault billboard.</w:t>
            </w:r>
          </w:p>
          <w:p>
            <w:pPr>
              <w:spacing w:after="40"/>
            </w:pPr>
            <w:r>
              <w:rPr>
                <w:b/>
                <w:color w:val="4A5568"/>
                <w:sz w:val="18"/>
              </w:rPr>
              <w:t xml:space="preserve">Featured Metrics / Formulas: </w:t>
            </w:r>
            <w:r>
              <w:rPr>
                <w:color w:val="0A2540"/>
                <w:sz w:val="18"/>
              </w:rPr>
              <w:t>Sign-Off Matrix: Unit Tests PASS | FDI PASS | Invariants PASS | Live Mission PASS | Deliverable APPROVED.</w:t>
            </w:r>
          </w:p>
        </w:tc>
      </w:tr>
    </w:tbl>
    <w:p>
      <w:pPr>
        <w:spacing w:after="80"/>
      </w:pPr>
    </w:p>
    <w:p>
      <w:pPr>
        <w:spacing w:before="40" w:after="160" w:line="276" w:lineRule="auto"/>
        <w:ind w:left="360"/>
      </w:pPr>
      <w:r>
        <w:rPr>
          <w:rFonts w:ascii="Calibri" w:hAnsi="Calibri"/>
          <w:b/>
          <w:color w:val="0A2540"/>
          <w:sz w:val="20"/>
        </w:rPr>
        <w:t>Verbatim Speaker Script:</w:t>
        <w:br/>
      </w:r>
      <w:r>
        <w:rPr>
          <w:rFonts w:ascii="Calibri" w:hAnsi="Calibri"/>
          <w:i/>
          <w:color w:val="2D3748"/>
          <w:sz w:val="20"/>
        </w:rPr>
        <w:t>"To ensure complete operational visibility, we also engineered a 100% flicker-free 3D RViz2 Maritime Workspace. Operators can monitor catamaran hulls with directional heading arrows, hydrodynamic stern wakes, dynamic glowing cyan gossip network lines between connected nodes, the 20-meter standoff ring, the 6-meter capture disk, and dynamic 3D billboards that flash hazard-red over degraded vessels. In conclusion, this capstone project has met and exceeded every functional, architectural, safety, and empirical requirement: We proved mathematical safety invariance with a 0.0% collision rate across all fault regimes; We delivered high-precision fault diagnosis with an F1 score of 0.9880; We demonstrated autonomous adaptation under severe 30% physical and 40% communication degradation; We solved co-channel swarm wireless contention through a three-layer TDMA, gossip pruning, and QoS architecture; and We provided a complete, publication-grade, editable research paper deliverable in docs/USV_Swarm_Research_Paper_Report.docx alongside one-command reproduction runbooks. Thank you for your time and attention. I am now ready to take questions from the panel."</w:t>
      </w:r>
    </w:p>
    <w:p>
      <w:pPr>
        <w:keepNext/>
        <w:spacing w:before="360" w:after="120"/>
        <w:pBdr>
          <w:bottom w:val="single" w:sz="12" w:space="4" w:color="0A2540"/>
        </w:pBdr>
      </w:pPr>
      <w:r>
        <w:rPr>
          <w:rFonts w:ascii="Calibri" w:hAnsi="Calibri"/>
          <w:b/>
          <w:color w:val="0A2540"/>
          <w:sz w:val="30"/>
        </w:rPr>
        <w:t>PART II: DEFENSE PANEL Q&amp;A GUIDE (COMMITTEE TECHNICAL DEFENSE)</w:t>
      </w:r>
    </w:p>
    <w:p>
      <w:pPr>
        <w:spacing w:before="0" w:after="100" w:line="276" w:lineRule="auto"/>
      </w:pPr>
      <w:r>
        <w:rPr>
          <w:rFonts w:ascii="Calibri" w:hAnsi="Calibri"/>
          <w:color w:val="2D3748"/>
          <w:sz w:val="20"/>
        </w:rPr>
        <w:t>This section prepares the presenting engineer for exhaustive, defense-level technical interrogation from faculty and industry review panels. Answers are structured in concise, authoritative bullet points referencing exact equations, parameters, and log benchmarks.</w:t>
      </w:r>
    </w:p>
    <w:p>
      <w:pPr>
        <w:keepNext/>
        <w:spacing w:before="240" w:after="80"/>
      </w:pPr>
      <w:r>
        <w:rPr>
          <w:rFonts w:ascii="Calibri" w:hAnsi="Calibri"/>
          <w:b/>
          <w:color w:val="4A5568"/>
          <w:sz w:val="25"/>
        </w:rPr>
        <w:t>Panel Question 1 (Mandatory Focus Topic):</w:t>
      </w:r>
    </w:p>
    <w:p>
      <w:pPr>
        <w:spacing w:before="0" w:after="100" w:line="276" w:lineRule="auto"/>
      </w:pPr>
      <w:r>
        <w:rPr>
          <w:rFonts w:ascii="Calibri" w:hAnsi="Calibri"/>
          <w:b/>
          <w:color w:val="0A2540"/>
          <w:sz w:val="20"/>
        </w:rPr>
        <w:t xml:space="preserve">Question: </w:t>
      </w:r>
      <w:r>
        <w:rPr>
          <w:rFonts w:ascii="Calibri" w:hAnsi="Calibri"/>
          <w:color w:val="2D3748"/>
          <w:sz w:val="20"/>
        </w:rPr>
        <w:t>How do you handle communication across different nodes within a swarm acting on the same frequency band?</w:t>
      </w:r>
    </w:p>
    <w:p>
      <w:pPr>
        <w:pStyle w:val="ListBullet"/>
        <w:spacing w:before="0" w:after="60" w:line="276" w:lineRule="auto"/>
      </w:pPr>
      <w:r>
        <w:rPr>
          <w:rFonts w:ascii="Calibri" w:hAnsi="Calibri"/>
          <w:b/>
          <w:color w:val="0A2540"/>
          <w:sz w:val="20"/>
        </w:rPr>
        <w:t xml:space="preserve">Channel Physics: </w:t>
      </w:r>
      <w:r>
        <w:rPr>
          <w:rFonts w:ascii="Calibri" w:hAnsi="Calibri"/>
          <w:color w:val="2D3748"/>
          <w:sz w:val="20"/>
        </w:rPr>
        <w:t>Physical RF Propagation Challenges over Water: Specular sea surface reflections create severe two-ray ground multipath interference, inducing Rayleigh/Rician fading dips up to 30 dB. Low antenna heights (0.5m-1.5m) suffer Fresnel zone blockage from ocean swell.</w:t>
      </w:r>
    </w:p>
    <w:p>
      <w:pPr>
        <w:pStyle w:val="ListBullet"/>
        <w:spacing w:before="0" w:after="60" w:line="276" w:lineRule="auto"/>
      </w:pPr>
      <w:r>
        <w:rPr>
          <w:rFonts w:ascii="Calibri" w:hAnsi="Calibri"/>
          <w:b/>
          <w:color w:val="0A2540"/>
          <w:sz w:val="20"/>
        </w:rPr>
        <w:t xml:space="preserve">MAC Contention: </w:t>
      </w:r>
      <w:r>
        <w:rPr>
          <w:rFonts w:ascii="Calibri" w:hAnsi="Calibri"/>
          <w:color w:val="2D3748"/>
          <w:sz w:val="20"/>
        </w:rPr>
        <w:t>Co-Channel Contention &amp; Hidden Node Problem: In an encirclement ring (R = 20m to 45m), opposite nodes are separated by 40m-90m and cannot detect each other's carrier transmissions. Both transmit simultaneously to intermediate nodes, destroying packets. Standard CSMA/CA backoff expands exponentially, inflating latency from &lt; 5ms to &gt; 150ms.</w:t>
      </w:r>
    </w:p>
    <w:p>
      <w:pPr>
        <w:pStyle w:val="ListBullet"/>
        <w:spacing w:before="0" w:after="60" w:line="276" w:lineRule="auto"/>
      </w:pPr>
      <w:r>
        <w:rPr>
          <w:rFonts w:ascii="Calibri" w:hAnsi="Calibri"/>
          <w:b/>
          <w:color w:val="0A2540"/>
          <w:sz w:val="20"/>
        </w:rPr>
        <w:t xml:space="preserve">Swarm Degradation: </w:t>
      </w:r>
      <w:r>
        <w:rPr>
          <w:rFonts w:ascii="Calibri" w:hAnsi="Calibri"/>
          <w:color w:val="2D3748"/>
          <w:sz w:val="20"/>
        </w:rPr>
        <w:t>Operational Impacts if Unmitigated: Distributed EKF target covariance diverges; Hungarian role assignments desynchronize, causing dual-slot claims; CBF neighbor position lag (200ms stale at 1.5m/s = 0.30m error) threatens safety buffers; and guidance latency induces thruster hunting and battery drain.</w:t>
      </w:r>
    </w:p>
    <w:p>
      <w:pPr>
        <w:pStyle w:val="ListBullet"/>
        <w:spacing w:before="0" w:after="60" w:line="276" w:lineRule="auto"/>
      </w:pPr>
      <w:r>
        <w:rPr>
          <w:rFonts w:ascii="Calibri" w:hAnsi="Calibri"/>
          <w:b/>
          <w:color w:val="0A2540"/>
          <w:sz w:val="20"/>
        </w:rPr>
        <w:t xml:space="preserve">Layer 1 Mitigation: </w:t>
      </w:r>
      <w:r>
        <w:rPr>
          <w:rFonts w:ascii="Calibri" w:hAnsi="Calibri"/>
          <w:color w:val="2D3748"/>
          <w:sz w:val="20"/>
        </w:rPr>
        <w:t>Layer 1 (Physical/MAC) Mitigation — Synchronized TDMA: Synchronize all node clocks to sub-microsecond precision via GPS 1PPS (Pulse-Per-Second) or IEEE 1588 PTP. Divide each 100ms control epoch into ten dedicated 10ms non-overlapping slots. Each node transmits exclusively in its slot, mathematically eliminating co-channel collisions (0.0% collision rate). For simultaneous transmission, implement DSSS/CDMA with orthogonal Gold codes.</w:t>
      </w:r>
    </w:p>
    <w:p>
      <w:pPr>
        <w:pStyle w:val="ListBullet"/>
        <w:spacing w:before="0" w:after="60" w:line="276" w:lineRule="auto"/>
      </w:pPr>
      <w:r>
        <w:rPr>
          <w:rFonts w:ascii="Calibri" w:hAnsi="Calibri"/>
          <w:b/>
          <w:color w:val="0A2540"/>
          <w:sz w:val="20"/>
        </w:rPr>
        <w:t xml:space="preserve">Layer 2 Mitigation: </w:t>
      </w:r>
      <w:r>
        <w:rPr>
          <w:rFonts w:ascii="Calibri" w:hAnsi="Calibri"/>
          <w:color w:val="2D3748"/>
          <w:sz w:val="20"/>
        </w:rPr>
        <w:t>Layer 2 (Network) Mitigation — Clustered Gossip Pruning: Suppress all-to-all broadcast flooding (O(N^2) load). Restrict transmissions to k=3 nearest neighbors and a designated cluster head (O(N) load), where the healthiest node aggregates and rebroadcasts compressed target beliefs.</w:t>
      </w:r>
    </w:p>
    <w:p>
      <w:pPr>
        <w:pStyle w:val="ListBullet"/>
        <w:spacing w:before="0" w:after="60" w:line="276" w:lineRule="auto"/>
      </w:pPr>
      <w:r>
        <w:rPr>
          <w:rFonts w:ascii="Calibri" w:hAnsi="Calibri"/>
          <w:b/>
          <w:color w:val="0A2540"/>
          <w:sz w:val="20"/>
        </w:rPr>
        <w:t xml:space="preserve">Layer 3 Mitigation: </w:t>
      </w:r>
      <w:r>
        <w:rPr>
          <w:rFonts w:ascii="Calibri" w:hAnsi="Calibri"/>
          <w:color w:val="2D3748"/>
          <w:sz w:val="20"/>
        </w:rPr>
        <w:t>Layer 3 (Application/Robotics) Mitigation — Event-Triggered QoS: Broadcast telemetry only when kinematic deltas exceed thresholds (||Δp|| &gt; 0.25m or |Δψ| &gt; 5 deg), cutting 70% of network traffic. Enforce 4-tier QoS priority queuing: Tier 0 CBF Emergency Beacons preempt Tier 1 Target Beliefs, Tier 2 Health Indices, and Tier 3 Diagnostic Logs. During link drops, run local predictive dead reckoning with covariance inflation (d_safe = d_safe_nominal + 3*sigma_dr).</w:t>
      </w:r>
    </w:p>
    <w:p>
      <w:pPr>
        <w:keepNext/>
        <w:spacing w:before="240" w:after="80"/>
      </w:pPr>
      <w:r>
        <w:rPr>
          <w:rFonts w:ascii="Calibri" w:hAnsi="Calibri"/>
          <w:b/>
          <w:color w:val="4A5568"/>
          <w:sz w:val="25"/>
        </w:rPr>
        <w:t>Panel Question 2:</w:t>
      </w:r>
    </w:p>
    <w:p>
      <w:pPr>
        <w:spacing w:before="0" w:after="100" w:line="276" w:lineRule="auto"/>
      </w:pPr>
      <w:r>
        <w:rPr>
          <w:rFonts w:ascii="Calibri" w:hAnsi="Calibri"/>
          <w:b/>
          <w:color w:val="0A2540"/>
          <w:sz w:val="20"/>
        </w:rPr>
        <w:t xml:space="preserve">Question: </w:t>
      </w:r>
      <w:r>
        <w:rPr>
          <w:rFonts w:ascii="Calibri" w:hAnsi="Calibri"/>
          <w:color w:val="2D3748"/>
          <w:sz w:val="20"/>
        </w:rPr>
        <w:t>How does the analytical Control Barrier Function guarantee 0.0% collisions when the MARL policy or kinematic guidance outputs aggressive velocities?</w:t>
      </w:r>
    </w:p>
    <w:p>
      <w:pPr>
        <w:pStyle w:val="ListBullet"/>
        <w:spacing w:before="0" w:after="60" w:line="276" w:lineRule="auto"/>
      </w:pPr>
      <w:r>
        <w:rPr>
          <w:rFonts w:ascii="Calibri" w:hAnsi="Calibri"/>
          <w:b/>
          <w:color w:val="0A2540"/>
          <w:sz w:val="20"/>
        </w:rPr>
        <w:t xml:space="preserve">Decoupled Control: </w:t>
      </w:r>
      <w:r>
        <w:rPr>
          <w:rFonts w:ascii="Calibri" w:hAnsi="Calibri"/>
          <w:color w:val="2D3748"/>
          <w:sz w:val="20"/>
        </w:rPr>
        <w:t>Decoupled Supervisory Architecture: The MARL policy operates purely as a nominal trajectory generator emitting u_nominal = [u_cmd, r_cmd]^T. It is never directly wired to thruster actuators. The CBF operates at 20 Hz as an independent supervisory gatekeeper.</w:t>
      </w:r>
    </w:p>
    <w:p>
      <w:pPr>
        <w:pStyle w:val="ListBullet"/>
        <w:spacing w:before="0" w:after="60" w:line="276" w:lineRule="auto"/>
      </w:pPr>
      <w:r>
        <w:rPr>
          <w:rFonts w:ascii="Calibri" w:hAnsi="Calibri"/>
          <w:b/>
          <w:color w:val="0A2540"/>
          <w:sz w:val="20"/>
        </w:rPr>
        <w:t xml:space="preserve">Invariant Set: </w:t>
      </w:r>
      <w:r>
        <w:rPr>
          <w:rFonts w:ascii="Calibri" w:hAnsi="Calibri"/>
          <w:color w:val="2D3748"/>
          <w:sz w:val="20"/>
        </w:rPr>
        <w:t>Mathematical Invariant Set: For all vessel pairs, define forward-invariant set C = {(p_i, p_j) | h_ij = ||p_i - p_j||^2 - d_safe^2 &gt;= 0}, where d_safe = 4.0m.</w:t>
      </w:r>
    </w:p>
    <w:p>
      <w:pPr>
        <w:pStyle w:val="ListBullet"/>
        <w:spacing w:before="0" w:after="60" w:line="276" w:lineRule="auto"/>
      </w:pPr>
      <w:r>
        <w:rPr>
          <w:rFonts w:ascii="Calibri" w:hAnsi="Calibri"/>
          <w:b/>
          <w:color w:val="0A2540"/>
          <w:sz w:val="20"/>
        </w:rPr>
        <w:t xml:space="preserve">Active Intervention: </w:t>
      </w:r>
      <w:r>
        <w:rPr>
          <w:rFonts w:ascii="Calibri" w:hAnsi="Calibri"/>
          <w:color w:val="2D3748"/>
          <w:sz w:val="20"/>
        </w:rPr>
        <w:t>Smooth Velocity Scaling &amp; Repulsion: When separation enters warning boundary (10.0m &gt; d_ij &gt; 4.0m), surge speed is scaled via λ_ij = clamp((d_ij - 4.0)/6.0, 0.0, 1.0) and evasive yaw r_evade = sgn(-θ_ij)*r_max*(1-λ_ij) is blended into steering.</w:t>
      </w:r>
    </w:p>
    <w:p>
      <w:pPr>
        <w:pStyle w:val="ListBullet"/>
        <w:spacing w:before="0" w:after="60" w:line="276" w:lineRule="auto"/>
      </w:pPr>
      <w:r>
        <w:rPr>
          <w:rFonts w:ascii="Calibri" w:hAnsi="Calibri"/>
          <w:b/>
          <w:color w:val="0A2540"/>
          <w:sz w:val="20"/>
        </w:rPr>
        <w:t xml:space="preserve">Hard Invariant: </w:t>
      </w:r>
      <w:r>
        <w:rPr>
          <w:rFonts w:ascii="Calibri" w:hAnsi="Calibri"/>
          <w:color w:val="2D3748"/>
          <w:sz w:val="20"/>
        </w:rPr>
        <w:t>Emergency Clamp: At d_ij &lt;= 5.0m, forward speed is strictly clamped to 0.0 m/s, converting all thruster authority into pure rotational yaw avoidance. This analytical boundary override mathematically guarantees d_min &gt;= 4.0m regardless of neural policy errors.</w:t>
      </w:r>
    </w:p>
    <w:p>
      <w:pPr>
        <w:keepNext/>
        <w:spacing w:before="240" w:after="80"/>
      </w:pPr>
      <w:r>
        <w:rPr>
          <w:rFonts w:ascii="Calibri" w:hAnsi="Calibri"/>
          <w:b/>
          <w:color w:val="4A5568"/>
          <w:sz w:val="25"/>
        </w:rPr>
        <w:t>Panel Question 3:</w:t>
      </w:r>
    </w:p>
    <w:p>
      <w:pPr>
        <w:spacing w:before="0" w:after="100" w:line="276" w:lineRule="auto"/>
      </w:pPr>
      <w:r>
        <w:rPr>
          <w:rFonts w:ascii="Calibri" w:hAnsi="Calibri"/>
          <w:b/>
          <w:color w:val="0A2540"/>
          <w:sz w:val="20"/>
        </w:rPr>
        <w:t xml:space="preserve">Question: </w:t>
      </w:r>
      <w:r>
        <w:rPr>
          <w:rFonts w:ascii="Calibri" w:hAnsi="Calibri"/>
          <w:color w:val="2D3748"/>
          <w:sz w:val="20"/>
        </w:rPr>
        <w:t>Why did you implement an XGBoost classifier for fault diagnosis rather than an end-to-end Deep Neural Network (e.g., LSTM or 1D-CNN)?</w:t>
      </w:r>
    </w:p>
    <w:p>
      <w:pPr>
        <w:pStyle w:val="ListBullet"/>
        <w:spacing w:before="0" w:after="60" w:line="276" w:lineRule="auto"/>
      </w:pPr>
      <w:r>
        <w:rPr>
          <w:rFonts w:ascii="Calibri" w:hAnsi="Calibri"/>
          <w:b/>
          <w:color w:val="0A2540"/>
          <w:sz w:val="20"/>
        </w:rPr>
        <w:t xml:space="preserve">Edge Latency: </w:t>
      </w:r>
      <w:r>
        <w:rPr>
          <w:rFonts w:ascii="Calibri" w:hAnsi="Calibri"/>
          <w:color w:val="2D3748"/>
          <w:sz w:val="20"/>
        </w:rPr>
        <w:t>Deterministic Low-Latency Edge Inference: On marine edge computers (Jetson Orin/x86), concurrent LSTMs for 6-10 agents cause GPU memory contention and CUDA kernel launch jitter. XGBoost tree traversal runs in &lt; 0.12 ms on CPU with zero VRAM footprint.</w:t>
      </w:r>
    </w:p>
    <w:p>
      <w:pPr>
        <w:pStyle w:val="ListBullet"/>
        <w:spacing w:before="0" w:after="60" w:line="276" w:lineRule="auto"/>
      </w:pPr>
      <w:r>
        <w:rPr>
          <w:rFonts w:ascii="Calibri" w:hAnsi="Calibri"/>
          <w:b/>
          <w:color w:val="0A2540"/>
          <w:sz w:val="20"/>
        </w:rPr>
        <w:t xml:space="preserve">Tabular Efficacy: </w:t>
      </w:r>
      <w:r>
        <w:rPr>
          <w:rFonts w:ascii="Calibri" w:hAnsi="Calibri"/>
          <w:color w:val="2D3748"/>
          <w:sz w:val="20"/>
        </w:rPr>
        <w:t>Superior Tabular Residual Representation: Sliding-window telemetry metrics (means, variances, trends, tracking errors) are inherently structured tabular features where gradient boosting consistently outperforms deep learning on domain-randomized sets.</w:t>
      </w:r>
    </w:p>
    <w:p>
      <w:pPr>
        <w:pStyle w:val="ListBullet"/>
        <w:spacing w:before="0" w:after="60" w:line="276" w:lineRule="auto"/>
      </w:pPr>
      <w:r>
        <w:rPr>
          <w:rFonts w:ascii="Calibri" w:hAnsi="Calibri"/>
          <w:b/>
          <w:color w:val="0A2540"/>
          <w:sz w:val="20"/>
        </w:rPr>
        <w:t xml:space="preserve">Interoperability: </w:t>
      </w:r>
      <w:r>
        <w:rPr>
          <w:rFonts w:ascii="Calibri" w:hAnsi="Calibri"/>
          <w:color w:val="2D3748"/>
          <w:sz w:val="20"/>
        </w:rPr>
        <w:t>Universal Platform-Independent Serialization: Serialized into a 554 KB JSON file (xgb_diagnosis.json), easily parsed under Python 3.14 in ROS 2 without loading PyTorch or CUDA runtimes, eliminating C-ABI friction.</w:t>
      </w:r>
    </w:p>
    <w:p>
      <w:pPr>
        <w:pStyle w:val="ListBullet"/>
        <w:spacing w:before="0" w:after="60" w:line="276" w:lineRule="auto"/>
      </w:pPr>
      <w:r>
        <w:rPr>
          <w:rFonts w:ascii="Calibri" w:hAnsi="Calibri"/>
          <w:b/>
          <w:color w:val="0A2540"/>
          <w:sz w:val="20"/>
        </w:rPr>
        <w:t xml:space="preserve">Empirical Proof: </w:t>
      </w:r>
      <w:r>
        <w:rPr>
          <w:rFonts w:ascii="Calibri" w:hAnsi="Calibri"/>
          <w:color w:val="2D3748"/>
          <w:sz w:val="20"/>
        </w:rPr>
        <w:t>Verified Performance: Achieved 98.44% Accuracy and 0.9880 Macro-F1 across 3,905 holdout windows, with 100% precision on GPS faults and 99.82% recall on thruster failures.</w:t>
      </w:r>
    </w:p>
    <w:p>
      <w:pPr>
        <w:keepNext/>
        <w:spacing w:before="240" w:after="80"/>
      </w:pPr>
      <w:r>
        <w:rPr>
          <w:rFonts w:ascii="Calibri" w:hAnsi="Calibri"/>
          <w:b/>
          <w:color w:val="4A5568"/>
          <w:sz w:val="25"/>
        </w:rPr>
        <w:t>Panel Question 4:</w:t>
      </w:r>
    </w:p>
    <w:p>
      <w:pPr>
        <w:spacing w:before="0" w:after="100" w:line="276" w:lineRule="auto"/>
      </w:pPr>
      <w:r>
        <w:rPr>
          <w:rFonts w:ascii="Calibri" w:hAnsi="Calibri"/>
          <w:b/>
          <w:color w:val="0A2540"/>
          <w:sz w:val="20"/>
        </w:rPr>
        <w:t xml:space="preserve">Question: </w:t>
      </w:r>
      <w:r>
        <w:rPr>
          <w:rFonts w:ascii="Calibri" w:hAnsi="Calibri"/>
          <w:color w:val="2D3748"/>
          <w:sz w:val="20"/>
        </w:rPr>
        <w:t>Explain the mathematical rationale behind the hysteresis constant (-15.0) and degradation penalty (+150.0) in the Hungarian cost matrix.</w:t>
      </w:r>
    </w:p>
    <w:p>
      <w:pPr>
        <w:pStyle w:val="ListBullet"/>
        <w:spacing w:before="0" w:after="60" w:line="276" w:lineRule="auto"/>
      </w:pPr>
      <w:r>
        <w:rPr>
          <w:rFonts w:ascii="Calibri" w:hAnsi="Calibri"/>
          <w:b/>
          <w:color w:val="0A2540"/>
          <w:sz w:val="20"/>
        </w:rPr>
        <w:t xml:space="preserve">Formulation: </w:t>
      </w:r>
      <w:r>
        <w:rPr>
          <w:rFonts w:ascii="Calibri" w:hAnsi="Calibri"/>
          <w:color w:val="2D3748"/>
          <w:sz w:val="20"/>
        </w:rPr>
        <w:t>Cost Matrix Formula: C_{i, s} = ||p_i - p_s^{slot}|| + Penalty(h_i, role_s) + H_{i, s}.</w:t>
      </w:r>
    </w:p>
    <w:p>
      <w:pPr>
        <w:pStyle w:val="ListBullet"/>
        <w:spacing w:before="0" w:after="60" w:line="276" w:lineRule="auto"/>
      </w:pPr>
      <w:r>
        <w:rPr>
          <w:rFonts w:ascii="Calibri" w:hAnsi="Calibri"/>
          <w:b/>
          <w:color w:val="0A2540"/>
          <w:sz w:val="20"/>
        </w:rPr>
        <w:t xml:space="preserve">Health Enforcement: </w:t>
      </w:r>
      <w:r>
        <w:rPr>
          <w:rFonts w:ascii="Calibri" w:hAnsi="Calibri"/>
          <w:color w:val="2D3748"/>
          <w:sz w:val="20"/>
        </w:rPr>
        <w:t>Degradation Penalty (+150.0): When h_i &lt; 0.50, assigning an agent to a 20m ring slot incurs +150.0 * (1 - h_i). Across a 60m fleet diameter, an added cost of +75 to +150 dominates geometric distance, mathematically forcing Kuhn-Munkres to reassign degraded vessels to outer relay slots (30m).</w:t>
      </w:r>
    </w:p>
    <w:p>
      <w:pPr>
        <w:pStyle w:val="ListBullet"/>
        <w:spacing w:before="0" w:after="60" w:line="276" w:lineRule="auto"/>
      </w:pPr>
      <w:r>
        <w:rPr>
          <w:rFonts w:ascii="Calibri" w:hAnsi="Calibri"/>
          <w:b/>
          <w:color w:val="0A2540"/>
          <w:sz w:val="20"/>
        </w:rPr>
        <w:t xml:space="preserve">Anti-Chatter Stability: </w:t>
      </w:r>
      <w:r>
        <w:rPr>
          <w:rFonts w:ascii="Calibri" w:hAnsi="Calibri"/>
          <w:color w:val="2D3748"/>
          <w:sz w:val="20"/>
        </w:rPr>
        <w:t>Assignment Hysteresis (-15.0): Subtracting 15.0 for the previously assigned slot creates an energetic potential well. An agent will only swap slots if another assignment offers a geometric advantage greater than 15.0 meters, reducing role chattering frequency from &gt; 2.0 Hz down to 0.0 Hz.</w:t>
      </w:r>
    </w:p>
    <w:p>
      <w:pPr>
        <w:keepNext/>
        <w:spacing w:before="240" w:after="80"/>
      </w:pPr>
      <w:r>
        <w:rPr>
          <w:rFonts w:ascii="Calibri" w:hAnsi="Calibri"/>
          <w:b/>
          <w:color w:val="4A5568"/>
          <w:sz w:val="25"/>
        </w:rPr>
        <w:t>Panel Question 5:</w:t>
      </w:r>
    </w:p>
    <w:p>
      <w:pPr>
        <w:spacing w:before="0" w:after="100" w:line="276" w:lineRule="auto"/>
      </w:pPr>
      <w:r>
        <w:rPr>
          <w:rFonts w:ascii="Calibri" w:hAnsi="Calibri"/>
          <w:b/>
          <w:color w:val="0A2540"/>
          <w:sz w:val="20"/>
        </w:rPr>
        <w:t xml:space="preserve">Question: </w:t>
      </w:r>
      <w:r>
        <w:rPr>
          <w:rFonts w:ascii="Calibri" w:hAnsi="Calibri"/>
          <w:color w:val="2D3748"/>
          <w:sz w:val="20"/>
        </w:rPr>
        <w:t>How does the system isolate Python 3.14 (ROS 2 Lyrical) and Python 3.11 (PyTorch/CUDA), and what is the latency overhead during model execution?</w:t>
      </w:r>
    </w:p>
    <w:p>
      <w:pPr>
        <w:pStyle w:val="ListBullet"/>
        <w:spacing w:before="0" w:after="60" w:line="276" w:lineRule="auto"/>
      </w:pPr>
      <w:r>
        <w:rPr>
          <w:rFonts w:ascii="Calibri" w:hAnsi="Calibri"/>
          <w:b/>
          <w:color w:val="0A2540"/>
          <w:sz w:val="20"/>
        </w:rPr>
        <w:t xml:space="preserve">Root Cause: </w:t>
      </w:r>
      <w:r>
        <w:rPr>
          <w:rFonts w:ascii="Calibri" w:hAnsi="Calibri"/>
          <w:color w:val="2D3748"/>
          <w:sz w:val="20"/>
        </w:rPr>
        <w:t>Root Cause of Incompatibility: Ubuntu 26.04 compiles ROS 2 Lyrical (rclpy, CycloneDDS) against system Python 3.14. Deep learning frameworks (PyTorch 2.14+cu130, GPU XGBoost) require Python 3.11 C-ABIs. Mixing them causes glibc symbol faults.</w:t>
      </w:r>
    </w:p>
    <w:p>
      <w:pPr>
        <w:pStyle w:val="ListBullet"/>
        <w:spacing w:before="0" w:after="60" w:line="276" w:lineRule="auto"/>
      </w:pPr>
      <w:r>
        <w:rPr>
          <w:rFonts w:ascii="Calibri" w:hAnsi="Calibri"/>
          <w:b/>
          <w:color w:val="0A2540"/>
          <w:sz w:val="20"/>
        </w:rPr>
        <w:t xml:space="preserve">Pipeline Isolation: </w:t>
      </w:r>
      <w:r>
        <w:rPr>
          <w:rFonts w:ascii="Calibri" w:hAnsi="Calibri"/>
          <w:color w:val="2D3748"/>
          <w:sz w:val="20"/>
        </w:rPr>
        <w:t>Decoupled Execution Pipeline: Stage 1 ML runs inside Conda Python 3.11 (usv_swarm_env) to train policies and export frozen models. Stage 2 executes under System Python 3.14.</w:t>
      </w:r>
    </w:p>
    <w:p>
      <w:pPr>
        <w:pStyle w:val="ListBullet"/>
        <w:spacing w:before="0" w:after="60" w:line="276" w:lineRule="auto"/>
      </w:pPr>
      <w:r>
        <w:rPr>
          <w:rFonts w:ascii="Calibri" w:hAnsi="Calibri"/>
          <w:b/>
          <w:color w:val="0A2540"/>
          <w:sz w:val="20"/>
        </w:rPr>
        <w:t xml:space="preserve">Latency Efficiency: </w:t>
      </w:r>
      <w:r>
        <w:rPr>
          <w:rFonts w:ascii="Calibri" w:hAnsi="Calibri"/>
          <w:color w:val="2D3748"/>
          <w:sz w:val="20"/>
        </w:rPr>
        <w:t>Zero IPC Overhead: Instead of brittle inter-process socket bridges, ROS 2 nodes load JSON-serialized decision trees and feature self-contained analytical decision engines, achieving sub-millisecond execution without cross-process IPC lag.</w:t>
      </w:r>
    </w:p>
    <w:p>
      <w:pPr>
        <w:keepNext/>
        <w:spacing w:before="240" w:after="80"/>
      </w:pPr>
      <w:r>
        <w:rPr>
          <w:rFonts w:ascii="Calibri" w:hAnsi="Calibri"/>
          <w:b/>
          <w:color w:val="4A5568"/>
          <w:sz w:val="25"/>
        </w:rPr>
        <w:t>Panel Question 6:</w:t>
      </w:r>
    </w:p>
    <w:p>
      <w:pPr>
        <w:spacing w:before="0" w:after="100" w:line="276" w:lineRule="auto"/>
      </w:pPr>
      <w:r>
        <w:rPr>
          <w:rFonts w:ascii="Calibri" w:hAnsi="Calibri"/>
          <w:b/>
          <w:color w:val="0A2540"/>
          <w:sz w:val="20"/>
        </w:rPr>
        <w:t xml:space="preserve">Question: </w:t>
      </w:r>
      <w:r>
        <w:rPr>
          <w:rFonts w:ascii="Calibri" w:hAnsi="Calibri"/>
          <w:color w:val="2D3748"/>
          <w:sz w:val="20"/>
        </w:rPr>
        <w:t>In what situations would the cloud Groq LLM arbiter be triggered, and what prevents mission failure if cloud connectivity is severed?</w:t>
      </w:r>
    </w:p>
    <w:p>
      <w:pPr>
        <w:pStyle w:val="ListBullet"/>
        <w:spacing w:before="0" w:after="60" w:line="276" w:lineRule="auto"/>
      </w:pPr>
      <w:r>
        <w:rPr>
          <w:rFonts w:ascii="Calibri" w:hAnsi="Calibri"/>
          <w:b/>
          <w:color w:val="0A2540"/>
          <w:sz w:val="20"/>
        </w:rPr>
        <w:t xml:space="preserve">Trigger Envelope: </w:t>
      </w:r>
      <w:r>
        <w:rPr>
          <w:rFonts w:ascii="Calibri" w:hAnsi="Calibri"/>
          <w:color w:val="2D3748"/>
          <w:sz w:val="20"/>
        </w:rPr>
        <w:t>Strict Event-Driven Trigger: The Groq LLM arbiter is never polled cyclically at 10 Hz. It is triggered only upon detecting severe anomalies: composite health collapse (h_i &lt; 0.30), link blackout (&gt; 40% loss), or encirclement stall (&gt; 15s).</w:t>
      </w:r>
    </w:p>
    <w:p>
      <w:pPr>
        <w:pStyle w:val="ListBullet"/>
        <w:spacing w:before="0" w:after="60" w:line="276" w:lineRule="auto"/>
      </w:pPr>
      <w:r>
        <w:rPr>
          <w:rFonts w:ascii="Calibri" w:hAnsi="Calibri"/>
          <w:b/>
          <w:color w:val="0A2540"/>
          <w:sz w:val="20"/>
        </w:rPr>
        <w:t xml:space="preserve">Structured Output: </w:t>
      </w:r>
      <w:r>
        <w:rPr>
          <w:rFonts w:ascii="Calibri" w:hAnsi="Calibri"/>
          <w:color w:val="2D3748"/>
          <w:sz w:val="20"/>
        </w:rPr>
        <w:t>Pydantic Structured Schema: Cloud model (openai/gpt-oss-120b running on Groq LPUs at 500 T/s) ingests JSON telemetry and emits Pydantic-validated JSON actions containing role reallocations and revised standoff boundaries.</w:t>
      </w:r>
    </w:p>
    <w:p>
      <w:pPr>
        <w:pStyle w:val="ListBullet"/>
        <w:spacing w:before="0" w:after="60" w:line="276" w:lineRule="auto"/>
      </w:pPr>
      <w:r>
        <w:rPr>
          <w:rFonts w:ascii="Calibri" w:hAnsi="Calibri"/>
          <w:b/>
          <w:color w:val="0A2540"/>
          <w:sz w:val="20"/>
        </w:rPr>
        <w:t xml:space="preserve">Fail-Safe Fallback: </w:t>
      </w:r>
      <w:r>
        <w:rPr>
          <w:rFonts w:ascii="Calibri" w:hAnsi="Calibri"/>
          <w:color w:val="2D3748"/>
          <w:sz w:val="20"/>
        </w:rPr>
        <w:t>Deterministic Edge Fallback: If cloud API calls time out or internet connectivity drops, the recovery planner immediately falls back to a deterministic local rule matrix, promoting the healthiest scout to tracker and expanding standoff to 25m with zero dropped frames.</w:t>
      </w:r>
    </w:p>
    <w:p>
      <w:pPr>
        <w:keepNext/>
        <w:spacing w:before="240" w:after="80"/>
      </w:pPr>
      <w:r>
        <w:rPr>
          <w:rFonts w:ascii="Calibri" w:hAnsi="Calibri"/>
          <w:b/>
          <w:color w:val="4A5568"/>
          <w:sz w:val="25"/>
        </w:rPr>
        <w:t>Panel Question 7:</w:t>
      </w:r>
    </w:p>
    <w:p>
      <w:pPr>
        <w:spacing w:before="0" w:after="100" w:line="276" w:lineRule="auto"/>
      </w:pPr>
      <w:r>
        <w:rPr>
          <w:rFonts w:ascii="Calibri" w:hAnsi="Calibri"/>
          <w:b/>
          <w:color w:val="0A2540"/>
          <w:sz w:val="20"/>
        </w:rPr>
        <w:t xml:space="preserve">Question: </w:t>
      </w:r>
      <w:r>
        <w:rPr>
          <w:rFonts w:ascii="Calibri" w:hAnsi="Calibri"/>
          <w:color w:val="2D3748"/>
          <w:sz w:val="20"/>
        </w:rPr>
        <w:t>How is the target's non-destructive containment arrest modeled, and how does the swarm prevent the target from escaping through angular gaps?</w:t>
      </w:r>
    </w:p>
    <w:p>
      <w:pPr>
        <w:pStyle w:val="ListBullet"/>
        <w:spacing w:before="0" w:after="60" w:line="276" w:lineRule="auto"/>
      </w:pPr>
      <w:r>
        <w:rPr>
          <w:rFonts w:ascii="Calibri" w:hAnsi="Calibri"/>
          <w:b/>
          <w:color w:val="0A2540"/>
          <w:sz w:val="20"/>
        </w:rPr>
        <w:t xml:space="preserve">Evasion Dynamics: </w:t>
      </w:r>
      <w:r>
        <w:rPr>
          <w:rFonts w:ascii="Calibri" w:hAnsi="Calibri"/>
          <w:color w:val="2D3748"/>
          <w:sz w:val="20"/>
        </w:rPr>
        <w:t>Centroid Evasion Mechanics: The reactive target detects enclosing USVs within 25m and computes tracker centroid c_bar. If ||p_target - c_bar|| &gt;= 6.0m, it steers along -c_bar into open water at speeds up to 1.5 m/s.</w:t>
      </w:r>
    </w:p>
    <w:p>
      <w:pPr>
        <w:pStyle w:val="ListBullet"/>
        <w:spacing w:before="0" w:after="60" w:line="276" w:lineRule="auto"/>
      </w:pPr>
      <w:r>
        <w:rPr>
          <w:rFonts w:ascii="Calibri" w:hAnsi="Calibri"/>
          <w:b/>
          <w:color w:val="0A2540"/>
          <w:sz w:val="20"/>
        </w:rPr>
        <w:t xml:space="preserve">Containment Arrest: </w:t>
      </w:r>
      <w:r>
        <w:rPr>
          <w:rFonts w:ascii="Calibri" w:hAnsi="Calibri"/>
          <w:color w:val="2D3748"/>
          <w:sz w:val="20"/>
        </w:rPr>
        <w:t>Non-Destructive Deceleration: When the swarm achieves symmetric confinement (centroid error &lt; 6.0m with &gt;= 3 USVs), the target recognizes escape is blocked and systematically decelerates: u(t+Δt) = max(0.08, u(t) - 0.3Δt) until speed drops below 0.20 m/s.</w:t>
      </w:r>
    </w:p>
    <w:p>
      <w:pPr>
        <w:pStyle w:val="ListBullet"/>
        <w:spacing w:before="0" w:after="60" w:line="276" w:lineRule="auto"/>
      </w:pPr>
      <w:r>
        <w:rPr>
          <w:rFonts w:ascii="Calibri" w:hAnsi="Calibri"/>
          <w:b/>
          <w:color w:val="0A2540"/>
          <w:sz w:val="20"/>
        </w:rPr>
        <w:t xml:space="preserve">Gap Prevention: </w:t>
      </w:r>
      <w:r>
        <w:rPr>
          <w:rFonts w:ascii="Calibri" w:hAnsi="Calibri"/>
          <w:color w:val="2D3748"/>
          <w:sz w:val="20"/>
        </w:rPr>
        <w:t>Criterion 2 Angular Gap Enforcement: The Hungarian allocator spaces ring vessels to enforce max_gap &lt;= (2π/N)*1.5 (max 1.57 rad / 90 deg for N=6). If an angular gap expands, an interceptor from the outer perimeter is dynamically assigned to plug the open corridor.</w:t>
      </w:r>
    </w:p>
    <w:p>
      <w:pPr>
        <w:keepNext/>
        <w:spacing w:before="360" w:after="120"/>
        <w:pBdr>
          <w:bottom w:val="single" w:sz="12" w:space="4" w:color="0A2540"/>
        </w:pBdr>
      </w:pPr>
      <w:r>
        <w:rPr>
          <w:rFonts w:ascii="Calibri" w:hAnsi="Calibri"/>
          <w:b/>
          <w:color w:val="0A2540"/>
          <w:sz w:val="30"/>
        </w:rPr>
        <w:t>PART III: SPEAKER RUNBOOK &amp; SLIDE TRANSITION CHEAT SHEET</w:t>
      </w:r>
    </w:p>
    <w:p>
      <w:pPr>
        <w:spacing w:before="0" w:after="100" w:line="276" w:lineRule="auto"/>
      </w:pPr>
      <w:r>
        <w:rPr>
          <w:rFonts w:ascii="Calibri" w:hAnsi="Calibri"/>
          <w:color w:val="2D3748"/>
          <w:sz w:val="20"/>
        </w:rPr>
        <w:t>This quick-reference guide provides transition phrases, visual slide cues, and pacing advice for the presenting engineer:</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3120"/>
        <w:gridCol w:w="3120"/>
        <w:gridCol w:w="3120"/>
      </w:tblGrid>
      <w:tr>
        <w:tc>
          <w:tcPr>
            <w:tcW w:type="dxa" w:w="2592"/>
            <w:shd w:fill="0A2540"/>
            <w:tcMar>
              <w:top w:w="140" w:type="dxa"/>
              <w:bottom w:w="140" w:type="dxa"/>
              <w:left w:w="140" w:type="dxa"/>
              <w:right w:w="140" w:type="dxa"/>
            </w:tcMar>
          </w:tcPr>
          <w:p>
            <w:pPr>
              <w:spacing w:after="0"/>
              <w:jc w:val="left"/>
            </w:pPr>
            <w:r>
              <w:rPr>
                <w:rFonts w:ascii="Calibri" w:hAnsi="Calibri"/>
                <w:b/>
                <w:color w:val="FFFFFF"/>
                <w:sz w:val="19"/>
              </w:rPr>
              <w:t>Transition Point</w:t>
            </w:r>
          </w:p>
        </w:tc>
        <w:tc>
          <w:tcPr>
            <w:tcW w:type="dxa" w:w="1728"/>
            <w:shd w:fill="0A2540"/>
            <w:tcMar>
              <w:top w:w="140" w:type="dxa"/>
              <w:bottom w:w="140" w:type="dxa"/>
              <w:left w:w="140" w:type="dxa"/>
              <w:right w:w="140" w:type="dxa"/>
            </w:tcMar>
          </w:tcPr>
          <w:p>
            <w:pPr>
              <w:spacing w:after="0"/>
              <w:jc w:val="left"/>
            </w:pPr>
            <w:r>
              <w:rPr>
                <w:rFonts w:ascii="Calibri" w:hAnsi="Calibri"/>
                <w:b/>
                <w:color w:val="FFFFFF"/>
                <w:sz w:val="19"/>
              </w:rPr>
              <w:t>Target Timing</w:t>
            </w:r>
          </w:p>
        </w:tc>
        <w:tc>
          <w:tcPr>
            <w:tcW w:type="dxa" w:w="5040"/>
            <w:shd w:fill="0A2540"/>
            <w:tcMar>
              <w:top w:w="140" w:type="dxa"/>
              <w:bottom w:w="140" w:type="dxa"/>
              <w:left w:w="140" w:type="dxa"/>
              <w:right w:w="140" w:type="dxa"/>
            </w:tcMar>
          </w:tcPr>
          <w:p>
            <w:pPr>
              <w:spacing w:after="0"/>
              <w:jc w:val="left"/>
            </w:pPr>
            <w:r>
              <w:rPr>
                <w:rFonts w:ascii="Calibri" w:hAnsi="Calibri"/>
                <w:b/>
                <w:color w:val="FFFFFF"/>
                <w:sz w:val="19"/>
              </w:rPr>
              <w:t>Recommended Verbatim Transition Phrase</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Slide 1 -&gt; Slide 2</w:t>
            </w:r>
          </w:p>
        </w:tc>
        <w:tc>
          <w:tcPr>
            <w:tcW w:type="dxa" w:w="1728"/>
            <w:shd w:fill="F7FAFC"/>
            <w:tcMar>
              <w:top w:w="100" w:type="dxa"/>
              <w:bottom w:w="100" w:type="dxa"/>
              <w:left w:w="140" w:type="dxa"/>
              <w:right w:w="140" w:type="dxa"/>
            </w:tcMar>
          </w:tcPr>
          <w:p>
            <w:pPr>
              <w:spacing w:after="0"/>
              <w:jc w:val="left"/>
            </w:pPr>
            <w:r>
              <w:rPr>
                <w:rFonts w:ascii="Calibri" w:hAnsi="Calibri"/>
                <w:color w:val="2D3748"/>
                <w:sz w:val="18"/>
              </w:rPr>
              <w:t>At 1:00 min</w:t>
            </w:r>
          </w:p>
        </w:tc>
        <w:tc>
          <w:tcPr>
            <w:tcW w:type="dxa" w:w="5040"/>
            <w:shd w:fill="F7FAFC"/>
            <w:tcMar>
              <w:top w:w="100" w:type="dxa"/>
              <w:bottom w:w="100" w:type="dxa"/>
              <w:left w:w="140" w:type="dxa"/>
              <w:right w:w="140" w:type="dxa"/>
            </w:tcMar>
          </w:tcPr>
          <w:p>
            <w:pPr>
              <w:spacing w:after="0"/>
              <w:jc w:val="left"/>
            </w:pPr>
            <w:r>
              <w:rPr>
                <w:rFonts w:ascii="Calibri" w:hAnsi="Calibri"/>
                <w:color w:val="2D3748"/>
                <w:sz w:val="18"/>
              </w:rPr>
              <w:t>"Now that we have established the threat model, let us examine the mathematical equations of motion governing these vessels."</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Slide 2 -&gt; Slide 3</w:t>
            </w:r>
          </w:p>
        </w:tc>
        <w:tc>
          <w:tcPr>
            <w:tcW w:type="dxa" w:w="1728"/>
            <w:shd w:fill="FFFFFF"/>
            <w:tcMar>
              <w:top w:w="100" w:type="dxa"/>
              <w:bottom w:w="100" w:type="dxa"/>
              <w:left w:w="140" w:type="dxa"/>
              <w:right w:w="140" w:type="dxa"/>
            </w:tcMar>
          </w:tcPr>
          <w:p>
            <w:pPr>
              <w:spacing w:after="0"/>
              <w:jc w:val="left"/>
            </w:pPr>
            <w:r>
              <w:rPr>
                <w:rFonts w:ascii="Calibri" w:hAnsi="Calibri"/>
                <w:color w:val="2D3748"/>
                <w:sz w:val="18"/>
              </w:rPr>
              <w:t>At 2:15 min</w:t>
            </w:r>
          </w:p>
        </w:tc>
        <w:tc>
          <w:tcPr>
            <w:tcW w:type="dxa" w:w="5040"/>
            <w:shd w:fill="FFFFFF"/>
            <w:tcMar>
              <w:top w:w="100" w:type="dxa"/>
              <w:bottom w:w="100" w:type="dxa"/>
              <w:left w:w="140" w:type="dxa"/>
              <w:right w:w="140" w:type="dxa"/>
            </w:tcMar>
          </w:tcPr>
          <w:p>
            <w:pPr>
              <w:spacing w:after="0"/>
              <w:jc w:val="left"/>
            </w:pPr>
            <w:r>
              <w:rPr>
                <w:rFonts w:ascii="Calibri" w:hAnsi="Calibri"/>
                <w:color w:val="2D3748"/>
                <w:sz w:val="18"/>
              </w:rPr>
              <w:t>"With our 3-DOF physics and Section 5 criteria formulated, let us explore how our dual-stage computational architecture realizes this in software."</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Slide 3 -&gt; Slide 4</w:t>
            </w:r>
          </w:p>
        </w:tc>
        <w:tc>
          <w:tcPr>
            <w:tcW w:type="dxa" w:w="1728"/>
            <w:shd w:fill="F7FAFC"/>
            <w:tcMar>
              <w:top w:w="100" w:type="dxa"/>
              <w:bottom w:w="100" w:type="dxa"/>
              <w:left w:w="140" w:type="dxa"/>
              <w:right w:w="140" w:type="dxa"/>
            </w:tcMar>
          </w:tcPr>
          <w:p>
            <w:pPr>
              <w:spacing w:after="0"/>
              <w:jc w:val="left"/>
            </w:pPr>
            <w:r>
              <w:rPr>
                <w:rFonts w:ascii="Calibri" w:hAnsi="Calibri"/>
                <w:color w:val="2D3748"/>
                <w:sz w:val="18"/>
              </w:rPr>
              <w:t>At 3:40 min</w:t>
            </w:r>
          </w:p>
        </w:tc>
        <w:tc>
          <w:tcPr>
            <w:tcW w:type="dxa" w:w="5040"/>
            <w:shd w:fill="F7FAFC"/>
            <w:tcMar>
              <w:top w:w="100" w:type="dxa"/>
              <w:bottom w:w="100" w:type="dxa"/>
              <w:left w:w="140" w:type="dxa"/>
              <w:right w:w="140" w:type="dxa"/>
            </w:tcMar>
          </w:tcPr>
          <w:p>
            <w:pPr>
              <w:spacing w:after="0"/>
              <w:jc w:val="left"/>
            </w:pPr>
            <w:r>
              <w:rPr>
                <w:rFonts w:ascii="Calibri" w:hAnsi="Calibri"/>
                <w:color w:val="2D3748"/>
                <w:sz w:val="18"/>
              </w:rPr>
              <w:t>"Having reviewed our 9-package ROS 2 stack, let us examine the algorithmic core that enables autonomous fault resilience."</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Slide 4 -&gt; Slide 5</w:t>
            </w:r>
          </w:p>
        </w:tc>
        <w:tc>
          <w:tcPr>
            <w:tcW w:type="dxa" w:w="1728"/>
            <w:shd w:fill="FFFFFF"/>
            <w:tcMar>
              <w:top w:w="100" w:type="dxa"/>
              <w:bottom w:w="100" w:type="dxa"/>
              <w:left w:w="140" w:type="dxa"/>
              <w:right w:w="140" w:type="dxa"/>
            </w:tcMar>
          </w:tcPr>
          <w:p>
            <w:pPr>
              <w:spacing w:after="0"/>
              <w:jc w:val="left"/>
            </w:pPr>
            <w:r>
              <w:rPr>
                <w:rFonts w:ascii="Calibri" w:hAnsi="Calibri"/>
                <w:color w:val="2D3748"/>
                <w:sz w:val="18"/>
              </w:rPr>
              <w:t>At 4:55 min</w:t>
            </w:r>
          </w:p>
        </w:tc>
        <w:tc>
          <w:tcPr>
            <w:tcW w:type="dxa" w:w="5040"/>
            <w:shd w:fill="FFFFFF"/>
            <w:tcMar>
              <w:top w:w="100" w:type="dxa"/>
              <w:bottom w:w="100" w:type="dxa"/>
              <w:left w:w="140" w:type="dxa"/>
              <w:right w:w="140" w:type="dxa"/>
            </w:tcMar>
          </w:tcPr>
          <w:p>
            <w:pPr>
              <w:spacing w:after="0"/>
              <w:jc w:val="left"/>
            </w:pPr>
            <w:r>
              <w:rPr>
                <w:rFonts w:ascii="Calibri" w:hAnsi="Calibri"/>
                <w:color w:val="2D3748"/>
                <w:sz w:val="18"/>
              </w:rPr>
              <w:t>"Translating these mathematical formulations into physical robotics exposed five severe engineering challenges."</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Slide 5 -&gt; Slide 6</w:t>
            </w:r>
          </w:p>
        </w:tc>
        <w:tc>
          <w:tcPr>
            <w:tcW w:type="dxa" w:w="1728"/>
            <w:shd w:fill="F7FAFC"/>
            <w:tcMar>
              <w:top w:w="100" w:type="dxa"/>
              <w:bottom w:w="100" w:type="dxa"/>
              <w:left w:w="140" w:type="dxa"/>
              <w:right w:w="140" w:type="dxa"/>
            </w:tcMar>
          </w:tcPr>
          <w:p>
            <w:pPr>
              <w:spacing w:after="0"/>
              <w:jc w:val="left"/>
            </w:pPr>
            <w:r>
              <w:rPr>
                <w:rFonts w:ascii="Calibri" w:hAnsi="Calibri"/>
                <w:color w:val="2D3748"/>
                <w:sz w:val="18"/>
              </w:rPr>
              <w:t>At 6:10 min</w:t>
            </w:r>
          </w:p>
        </w:tc>
        <w:tc>
          <w:tcPr>
            <w:tcW w:type="dxa" w:w="5040"/>
            <w:shd w:fill="F7FAFC"/>
            <w:tcMar>
              <w:top w:w="100" w:type="dxa"/>
              <w:bottom w:w="100" w:type="dxa"/>
              <w:left w:w="140" w:type="dxa"/>
              <w:right w:w="140" w:type="dxa"/>
            </w:tcMar>
          </w:tcPr>
          <w:p>
            <w:pPr>
              <w:spacing w:after="0"/>
              <w:jc w:val="left"/>
            </w:pPr>
            <w:r>
              <w:rPr>
                <w:rFonts w:ascii="Calibri" w:hAnsi="Calibri"/>
                <w:color w:val="2D3748"/>
                <w:sz w:val="18"/>
              </w:rPr>
              <w:t>"Now, let us examine a critical real-world problem: coordinating nodes operating on the exact same wireless frequency band."</w:t>
            </w:r>
          </w:p>
        </w:tc>
      </w:tr>
      <w:tr>
        <w:tc>
          <w:tcPr>
            <w:tcW w:type="dxa" w:w="2592"/>
            <w:shd w:fill="FFFFFF"/>
            <w:tcMar>
              <w:top w:w="100" w:type="dxa"/>
              <w:bottom w:w="100" w:type="dxa"/>
              <w:left w:w="140" w:type="dxa"/>
              <w:right w:w="140" w:type="dxa"/>
            </w:tcMar>
          </w:tcPr>
          <w:p>
            <w:pPr>
              <w:spacing w:after="0"/>
              <w:jc w:val="left"/>
            </w:pPr>
            <w:r>
              <w:rPr>
                <w:rFonts w:ascii="Calibri" w:hAnsi="Calibri"/>
                <w:color w:val="2D3748"/>
                <w:sz w:val="18"/>
              </w:rPr>
              <w:t>Slide 6 -&gt; Slide 7</w:t>
            </w:r>
          </w:p>
        </w:tc>
        <w:tc>
          <w:tcPr>
            <w:tcW w:type="dxa" w:w="1728"/>
            <w:shd w:fill="FFFFFF"/>
            <w:tcMar>
              <w:top w:w="100" w:type="dxa"/>
              <w:bottom w:w="100" w:type="dxa"/>
              <w:left w:w="140" w:type="dxa"/>
              <w:right w:w="140" w:type="dxa"/>
            </w:tcMar>
          </w:tcPr>
          <w:p>
            <w:pPr>
              <w:spacing w:after="0"/>
              <w:jc w:val="left"/>
            </w:pPr>
            <w:r>
              <w:rPr>
                <w:rFonts w:ascii="Calibri" w:hAnsi="Calibri"/>
                <w:color w:val="2D3748"/>
                <w:sz w:val="18"/>
              </w:rPr>
              <w:t>At 7:40 min</w:t>
            </w:r>
          </w:p>
        </w:tc>
        <w:tc>
          <w:tcPr>
            <w:tcW w:type="dxa" w:w="5040"/>
            <w:shd w:fill="FFFFFF"/>
            <w:tcMar>
              <w:top w:w="100" w:type="dxa"/>
              <w:bottom w:w="100" w:type="dxa"/>
              <w:left w:w="140" w:type="dxa"/>
              <w:right w:w="140" w:type="dxa"/>
            </w:tcMar>
          </w:tcPr>
          <w:p>
            <w:pPr>
              <w:spacing w:after="0"/>
              <w:jc w:val="left"/>
            </w:pPr>
            <w:r>
              <w:rPr>
                <w:rFonts w:ascii="Calibri" w:hAnsi="Calibri"/>
                <w:color w:val="2D3748"/>
                <w:sz w:val="18"/>
              </w:rPr>
              <w:t>"Let us examine the empirical benchmark data validating our entire algorithmic and communication architecture."</w:t>
            </w:r>
          </w:p>
        </w:tc>
      </w:tr>
      <w:tr>
        <w:tc>
          <w:tcPr>
            <w:tcW w:type="dxa" w:w="2592"/>
            <w:shd w:fill="F7FAFC"/>
            <w:tcMar>
              <w:top w:w="100" w:type="dxa"/>
              <w:bottom w:w="100" w:type="dxa"/>
              <w:left w:w="140" w:type="dxa"/>
              <w:right w:w="140" w:type="dxa"/>
            </w:tcMar>
          </w:tcPr>
          <w:p>
            <w:pPr>
              <w:spacing w:after="0"/>
              <w:jc w:val="left"/>
            </w:pPr>
            <w:r>
              <w:rPr>
                <w:rFonts w:ascii="Calibri" w:hAnsi="Calibri"/>
                <w:color w:val="2D3748"/>
                <w:sz w:val="18"/>
              </w:rPr>
              <w:t>Slide 7 -&gt; Slide 8</w:t>
            </w:r>
          </w:p>
        </w:tc>
        <w:tc>
          <w:tcPr>
            <w:tcW w:type="dxa" w:w="1728"/>
            <w:shd w:fill="F7FAFC"/>
            <w:tcMar>
              <w:top w:w="100" w:type="dxa"/>
              <w:bottom w:w="100" w:type="dxa"/>
              <w:left w:w="140" w:type="dxa"/>
              <w:right w:w="140" w:type="dxa"/>
            </w:tcMar>
          </w:tcPr>
          <w:p>
            <w:pPr>
              <w:spacing w:after="0"/>
              <w:jc w:val="left"/>
            </w:pPr>
            <w:r>
              <w:rPr>
                <w:rFonts w:ascii="Calibri" w:hAnsi="Calibri"/>
                <w:color w:val="2D3748"/>
                <w:sz w:val="18"/>
              </w:rPr>
              <w:t>At 9:00 min</w:t>
            </w:r>
          </w:p>
        </w:tc>
        <w:tc>
          <w:tcPr>
            <w:tcW w:type="dxa" w:w="5040"/>
            <w:shd w:fill="F7FAFC"/>
            <w:tcMar>
              <w:top w:w="100" w:type="dxa"/>
              <w:bottom w:w="100" w:type="dxa"/>
              <w:left w:w="140" w:type="dxa"/>
              <w:right w:w="140" w:type="dxa"/>
            </w:tcMar>
          </w:tcPr>
          <w:p>
            <w:pPr>
              <w:spacing w:after="0"/>
              <w:jc w:val="left"/>
            </w:pPr>
            <w:r>
              <w:rPr>
                <w:rFonts w:ascii="Calibri" w:hAnsi="Calibri"/>
                <w:color w:val="2D3748"/>
                <w:sz w:val="18"/>
              </w:rPr>
              <w:t>"To conclude, let us observe our 3D anti-flicker RViz2 maritime visualization and summarize our capstone verification sign-off."</w:t>
            </w:r>
          </w:p>
        </w:tc>
      </w:tr>
    </w:tbl>
    <w:p>
      <w:pPr>
        <w:spacing w:after="16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A5568"/>
        <w:sz w:val="17"/>
      </w:rPr>
      <w:t>Confidential &amp; Proprietary — Engineering Systems &amp; Robotics Capstone Deliverable | Editable Presentation &amp;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A5568"/>
        <w:sz w:val="17"/>
      </w:rPr>
      <w:t>PRESENTATION DELIVERABLE: 10-MIN SCRIPT &amp; DEFENSE Q&amp;A (CAPSTONE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