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000000"/>
          <w:sz w:val="44"/>
        </w:rPr>
        <w:t>Fault-Aware Multi-Agent Maritime Swarm for Resilient Standoff Tracking and Target Encirclement Under Actuator and Sensor Failures</w:t>
      </w:r>
    </w:p>
    <w:p>
      <w:pPr>
        <w:spacing w:after="80"/>
        <w:jc w:val="center"/>
      </w:pPr>
      <w:r>
        <w:rPr>
          <w:rFonts w:ascii="Times New Roman" w:hAnsi="Times New Roman"/>
          <w:b/>
          <w:color w:val="000000"/>
          <w:sz w:val="22"/>
        </w:rPr>
        <w:t>Pritish Bhatasana</w:t>
        <w:br/>
      </w:r>
      <w:r>
        <w:rPr>
          <w:rFonts w:ascii="Times New Roman" w:hAnsi="Times New Roman"/>
          <w:i/>
          <w:color w:val="333333"/>
          <w:sz w:val="19"/>
        </w:rPr>
        <w:t>Department of Computer Science and Engineering, School of Computer Science and Engineering (SCOPE)</w:t>
        <w:br/>
        <w:t>Vellore Institute of Technology, Chennai, Tamil Nadu 600127, India</w:t>
        <w:br/>
        <w:t>Email: pritish.bhatasana2023@vitstudent.ac.in | Candidate Reg. No: 23BRS1035</w:t>
        <w:br/>
        <w:t>Project Guide: Dr. Linda Joseph | Head of Department: Dr. Sathian D.</w:t>
      </w:r>
    </w:p>
    <w:p>
      <w:pPr>
        <w:sectPr>
          <w:pgSz w:w="11909" w:h="16834"/>
          <w:pgMar w:top="1080" w:right="900" w:bottom="1440" w:left="900" w:header="720" w:footer="720" w:gutter="0"/>
          <w:cols w:space="720"/>
          <w:docGrid w:linePitch="360"/>
        </w:sectPr>
      </w:pPr>
    </w:p>
    <w:p>
      <w:pPr>
        <w:spacing w:before="120" w:after="80" w:line="252" w:lineRule="auto"/>
        <w:jc w:val="both"/>
      </w:pPr>
      <w:r>
        <w:rPr>
          <w:rFonts w:ascii="Times New Roman" w:hAnsi="Times New Roman"/>
          <w:b/>
          <w:i/>
          <w:sz w:val="18"/>
        </w:rPr>
        <w:t>Abstract—</w:t>
      </w:r>
      <w:r>
        <w:rPr>
          <w:rFonts w:ascii="Times New Roman" w:hAnsi="Times New Roman"/>
          <w:b/>
          <w:sz w:val="18"/>
        </w:rPr>
        <w:t>Autonomous Surface Vessel (USV) swarms deployed for maritime standoff tracking and non-destructive perimeter containment operate in high-risk littoral zones where sudden actuator losses, GNSS spoofing, and co-channel RF signal attenuation frequently induce catastrophic formation collapse. Standard Multi-Agent Reinforcement Learning (MARL) policies optimize for cooperative encirclement under idealized conditions but fail catastrophically when agents encounter out-of-distribution fault dynamics, bunching into clustered clumps that breach minimum inter-vessel safety clearance. This paper presents FA-MAPPO, an enterprise-grade, fault-aware dual-loop cooperative swarm architecture that decouples slow tactical policy optimization from fast, provably safe kinematic barrier enforcement. The architecture integrates: (1) a 14-dimensional kinematic residual Fault Detection and Isolation (FDI) engine paired with an XGBoost multi-class health classifier running at 5 Hz (97.4% test F1-score); (2) a Kuhn-Munkres minimum-cost bipartite slot reallocation mechanism regulated by a dynamic 4.0 m hysteresis deadband to strictly eliminate role chattering; (3) a 20 Hz Control Barrier Function (CBF) Quadratic Program (QP) that guarantees forward safety invariance with zero pairwise collisions (clearance d_safe ≥ 3.5 m); and (4) an asynchronous 9-package ROS 2 distributed robotics stack evaluated on host development hardware with feasibility verified for recommended NVIDIA Jetson Orin Nano edge deployment. Across 120 rigorous Monte Carlo multi-fault simulation trials, FA-MAPPO achieves 94.8% encirclement retention with 0.0 near-collisions, reducing Mean Time to Reconfigure (MTTR) to 1.74s (a 70.0% reduction versus Vanilla MAPPO) while preserving a minimal 2.8% reality gap.</w:t>
      </w:r>
    </w:p>
    <w:p>
      <w:pPr>
        <w:spacing w:before="40" w:after="200" w:line="252" w:lineRule="auto"/>
        <w:jc w:val="both"/>
      </w:pPr>
      <w:r>
        <w:rPr>
          <w:rFonts w:ascii="Times New Roman" w:hAnsi="Times New Roman"/>
          <w:b/>
          <w:i/>
          <w:sz w:val="18"/>
        </w:rPr>
        <w:t>Index Terms—</w:t>
      </w:r>
      <w:r>
        <w:rPr>
          <w:rFonts w:ascii="Times New Roman" w:hAnsi="Times New Roman"/>
          <w:sz w:val="18"/>
        </w:rPr>
        <w:t>Autonomous Surface Vessels (USVs), Multi-Agent Reinforcement Learning (MARL), Control Barrier Functions (CBF), Fault Detection and Isolation (FDI), Kuhn-Munkres Algorithm, ROS 2 Humble, Jetson Orin Nano, Maritime Swarm Robotics.</w:t>
      </w:r>
    </w:p>
    <w:p>
      <w:pPr>
        <w:keepNext/>
        <w:spacing w:before="280" w:after="80"/>
        <w:jc w:val="center"/>
      </w:pPr>
      <w:r>
        <w:rPr>
          <w:rFonts w:ascii="Times New Roman" w:hAnsi="Times New Roman"/>
          <w:b/>
          <w:color w:val="000000"/>
          <w:sz w:val="20"/>
        </w:rPr>
        <w:t>I. INTRODUCTION</w:t>
      </w:r>
    </w:p>
    <w:p>
      <w:pPr>
        <w:spacing w:before="0" w:after="80" w:line="252" w:lineRule="auto"/>
        <w:ind w:firstLine="216"/>
        <w:jc w:val="both"/>
      </w:pPr>
      <w:r>
        <w:rPr>
          <w:rFonts w:ascii="Times New Roman" w:hAnsi="Times New Roman"/>
          <w:color w:val="000000"/>
          <w:sz w:val="20"/>
        </w:rPr>
        <w:t>Cooperative autonomous maritime swarms composed of lightweight Autonomous Surface Vessels (USVs) provide transformative operational capabilities for persistent coastal monitoring, harbor perimeter interdiction, environmental surveillance, and critical asset defense [1]. By distributing perception and actuation across multiple decentralized robotic nodes, a multi-vessel fleet achieves comprehensive standoff encircling of evasive marine targets, eliminating the single-point-of-failure liabilities inherent to monolithic crewed patrol craft [2]. However, the maritime littoral environment presents extreme operational hazards characterized by hydrodynamically turbulent sea states, non-linear added-mass effects, wave-induced thruster cavitation, GPS multipath and spoofing vulnerabilities, and co-channel radio frequency (RF) signal attenuation caused by dynamic wave-crest obstruction [3].</w:t>
      </w:r>
    </w:p>
    <w:p>
      <w:pPr>
        <w:spacing w:before="0" w:after="80" w:line="252" w:lineRule="auto"/>
        <w:ind w:firstLine="216"/>
        <w:jc w:val="both"/>
      </w:pPr>
      <w:r>
        <w:rPr>
          <w:rFonts w:ascii="Times New Roman" w:hAnsi="Times New Roman"/>
          <w:color w:val="000000"/>
          <w:sz w:val="20"/>
        </w:rPr>
        <w:t>When USVs execute close-quarters standoff orbital maneuvers around an agile non-cooperative target, physical fault events inevitably occur. Under sudden thruster loss (e.g., marine debris entanglement or motor winding burn-out), an agent loses 20% to 100% of its control effectiveness, introducing severe surge drag asymmetry and yaw unresponsiveness. Under GPS spoofing or multipath drift, corrupted kinematic telemetry tricks standard onboard guidance into commanding erratic high-speed corrections. Under Fresnel-zone RF obstruction, burst packet losses sever inter-agent synchronization links [4].</w:t>
      </w:r>
    </w:p>
    <w:p>
      <w:pPr>
        <w:spacing w:before="0" w:after="80" w:line="252" w:lineRule="auto"/>
        <w:ind w:firstLine="216"/>
        <w:jc w:val="both"/>
      </w:pPr>
      <w:r>
        <w:rPr>
          <w:rFonts w:ascii="Times New Roman" w:hAnsi="Times New Roman"/>
          <w:color w:val="000000"/>
          <w:sz w:val="20"/>
        </w:rPr>
        <w:t>Conventional Multi-Agent Reinforcement Learning (MARL) paradigms, such as centralized training with decentralized execution (CTDE) under Multi-Agent PPO (MAPPO) [5] or Multi-Agent DDPG (MADDPG) [6], synthesize highly coordinated joint policies under nominal simulation assumptions. However, when deployed in realistic asynchronous physical stacks, these frozen policies exhibit severe out-of-distribution failure modes. Specifically, when an agent suffers physical degradation, the swarm experiences a cascading role collapse: non-faulty agents fail to reallocate geometric slots dynamically, the fleet collapses into bunched physical clumps, and inter-vessel distances rapidly violate safety thresholds ($d_{ij} &lt; 3.5$ m), precipitating catastrophic collisions [7].</w:t>
      </w:r>
    </w:p>
    <w:p>
      <w:pPr>
        <w:spacing w:before="0" w:after="80" w:line="252" w:lineRule="auto"/>
        <w:ind w:firstLine="216"/>
        <w:jc w:val="both"/>
      </w:pPr>
      <w:r>
        <w:rPr>
          <w:rFonts w:ascii="Times New Roman" w:hAnsi="Times New Roman"/>
          <w:color w:val="000000"/>
          <w:sz w:val="20"/>
        </w:rPr>
        <w:t>To resolve this foundational operational vulnerability, this paper introduces FA-MAPPO (Fault-Aware Multi-Agent Proximal Policy Optimization), a hierarchical dual-loop framework engineered to guarantee mission continuity and forward invariance safety across littoral fault modes. The core contributions of this work are summarized as follows:</w:t>
      </w:r>
    </w:p>
    <w:p>
      <w:pPr>
        <w:spacing w:before="0" w:after="80" w:line="252" w:lineRule="auto"/>
        <w:ind w:firstLine="216"/>
        <w:jc w:val="both"/>
      </w:pPr>
      <w:r>
        <w:rPr>
          <w:rFonts w:ascii="Times New Roman" w:hAnsi="Times New Roman"/>
          <w:color w:val="000000"/>
          <w:sz w:val="20"/>
        </w:rPr>
        <w:t>1) Architectural Decoupling: We establish a dual-loop framework that separates slow-rate tactical policy optimization and role reconfiguration (1–5 Hz) from fast-rate, deterministic kinematic safety shielding (20 Hz), eliminating policy lag during abrupt mechanical failures.</w:t>
      </w:r>
    </w:p>
    <w:p>
      <w:pPr>
        <w:spacing w:before="0" w:after="80" w:line="252" w:lineRule="auto"/>
        <w:ind w:firstLine="216"/>
        <w:jc w:val="both"/>
      </w:pPr>
      <w:r>
        <w:rPr>
          <w:rFonts w:ascii="Times New Roman" w:hAnsi="Times New Roman"/>
          <w:color w:val="000000"/>
          <w:sz w:val="20"/>
        </w:rPr>
        <w:t>2) 14-Residual Kinematic FDI Pipeline: We engineer a domain-aware fault detection engine utilizing 14 physical kinematic and thruster residuals coupled to a multi-class XGBoost gradient-boosted tree classifier, delivering 97.4% fault isolation accuracy within a 3.0-second sliding temporal window.</w:t>
      </w:r>
    </w:p>
    <w:p>
      <w:pPr>
        <w:spacing w:before="0" w:after="80" w:line="252" w:lineRule="auto"/>
        <w:ind w:firstLine="216"/>
        <w:jc w:val="both"/>
      </w:pPr>
      <w:r>
        <w:rPr>
          <w:rFonts w:ascii="Times New Roman" w:hAnsi="Times New Roman"/>
          <w:color w:val="000000"/>
          <w:sz w:val="20"/>
        </w:rPr>
        <w:t>3) Dynamic Kuhn-Munkres Hysteresis: We formulate a health-weighted bipartite role and slot reassignment mechanism governed by an analytical 4.0 m hysteresis barrier, eliminating high-frequency role chattering and formation collapse.</w:t>
      </w:r>
    </w:p>
    <w:p>
      <w:pPr>
        <w:spacing w:before="0" w:after="80" w:line="252" w:lineRule="auto"/>
        <w:ind w:firstLine="216"/>
        <w:jc w:val="both"/>
      </w:pPr>
      <w:r>
        <w:rPr>
          <w:rFonts w:ascii="Times New Roman" w:hAnsi="Times New Roman"/>
          <w:color w:val="000000"/>
          <w:sz w:val="20"/>
        </w:rPr>
        <w:t>4) 20 Hz Quadratic Programming Safety Barrier: We integrate decentralized Control Barrier Functions (CBF) solved via real-time Quadratic Programs (QP), provably guaranteeing forward safety clearance (d_safe ≥ 3.5 m) with zero pairwise collisions across 120 empirical simulation trials.</w:t>
      </w:r>
    </w:p>
    <w:p>
      <w:pPr>
        <w:spacing w:before="0" w:after="80" w:line="252" w:lineRule="auto"/>
        <w:ind w:firstLine="216"/>
        <w:jc w:val="both"/>
      </w:pPr>
      <w:r>
        <w:rPr>
          <w:rFonts w:ascii="Times New Roman" w:hAnsi="Times New Roman"/>
          <w:color w:val="000000"/>
          <w:sz w:val="20"/>
        </w:rPr>
        <w:t>5) Production-Grade Embedded ROS 2 Stack: We deploy the complete 9-package architecture across x86_64 development hosts and evaluate computational feasibility against recommended NVIDIA Jetson Orin Nano embedded edge profiles, verifying real-time execution well within a 50 ms hard control deadline and confirming a minimal 2.8% reality gap.</w:t>
      </w:r>
    </w:p>
    <w:p>
      <w:pPr>
        <w:keepNext/>
        <w:spacing w:before="160" w:after="60"/>
        <w:jc w:val="center"/>
      </w:pPr>
      <w:r>
        <w:drawing>
          <wp:inline xmlns:a="http://schemas.openxmlformats.org/drawingml/2006/main" xmlns:pic="http://schemas.openxmlformats.org/drawingml/2006/picture">
            <wp:extent cx="3063240" cy="1456629"/>
            <wp:docPr id="1" name="Picture 1"/>
            <wp:cNvGraphicFramePr>
              <a:graphicFrameLocks noChangeAspect="1"/>
            </wp:cNvGraphicFramePr>
            <a:graphic>
              <a:graphicData uri="http://schemas.openxmlformats.org/drawingml/2006/picture">
                <pic:pic>
                  <pic:nvPicPr>
                    <pic:cNvPr id="0" name="fig01_timeline.png"/>
                    <pic:cNvPicPr/>
                  </pic:nvPicPr>
                  <pic:blipFill>
                    <a:blip r:embed="rId9"/>
                    <a:stretch>
                      <a:fillRect/>
                    </a:stretch>
                  </pic:blipFill>
                  <pic:spPr>
                    <a:xfrm>
                      <a:off x="0" y="0"/>
                      <a:ext cx="3063240" cy="1456629"/>
                    </a:xfrm>
                    <a:prstGeom prst="rect"/>
                  </pic:spPr>
                </pic:pic>
              </a:graphicData>
            </a:graphic>
          </wp:inline>
        </w:drawing>
      </w:r>
    </w:p>
    <w:p>
      <w:pPr>
        <w:spacing w:before="20" w:after="160" w:line="240" w:lineRule="auto"/>
        <w:jc w:val="both"/>
      </w:pPr>
      <w:r>
        <w:rPr>
          <w:rFonts w:ascii="Times New Roman" w:hAnsi="Times New Roman"/>
          <w:b/>
          <w:sz w:val="16"/>
        </w:rPr>
        <w:t xml:space="preserve">Fig. 1. </w:t>
      </w:r>
      <w:r>
        <w:rPr>
          <w:rFonts w:ascii="Times New Roman" w:hAnsi="Times New Roman"/>
          <w:sz w:val="16"/>
        </w:rPr>
        <w:t>Chronological evolution of marine hydrodynamics, cooperative MARL, and fault-tolerant architectures from 1994 to 2026.</w:t>
      </w:r>
    </w:p>
    <w:p>
      <w:pPr>
        <w:keepNext/>
        <w:spacing w:before="280" w:after="80"/>
        <w:jc w:val="center"/>
      </w:pPr>
      <w:r>
        <w:rPr>
          <w:rFonts w:ascii="Times New Roman" w:hAnsi="Times New Roman"/>
          <w:b/>
          <w:color w:val="000000"/>
          <w:sz w:val="20"/>
        </w:rPr>
        <w:t>II. RELATED WORK &amp; ARCHITECTURAL LANDSCAPE</w:t>
      </w:r>
    </w:p>
    <w:p>
      <w:pPr>
        <w:keepNext/>
        <w:spacing w:before="200" w:after="60"/>
        <w:jc w:val="left"/>
      </w:pPr>
      <w:r>
        <w:rPr>
          <w:rFonts w:ascii="Times New Roman" w:hAnsi="Times New Roman"/>
          <w:i/>
          <w:color w:val="000000"/>
          <w:sz w:val="20"/>
        </w:rPr>
        <w:t>A. Classical Guidance and Swarm Formation Control</w:t>
      </w:r>
    </w:p>
    <w:p>
      <w:pPr>
        <w:spacing w:before="0" w:after="80" w:line="252" w:lineRule="auto"/>
        <w:ind w:firstLine="216"/>
        <w:jc w:val="both"/>
      </w:pPr>
      <w:r>
        <w:rPr>
          <w:rFonts w:ascii="Times New Roman" w:hAnsi="Times New Roman"/>
          <w:color w:val="000000"/>
          <w:sz w:val="20"/>
        </w:rPr>
        <w:t>Early research in maritime target containment relied on Artificial Potential Fields (APF) [8] and Line-of-Sight (LOS) guidance laws [9]. While computationally lightweight, APF methods suffer from local minima traps, severe thruster oscillation near boundary clearances, and an inability to account for vessel inertia in high sea states. Virtual structure and leader-follower formation approaches maintain rigid geometry under nominal conditions but lack fault resilience: when the leader USV or a key formation anchor experiences actuator degradation, the entire formation collapses [10].</w:t>
      </w:r>
    </w:p>
    <w:p>
      <w:pPr>
        <w:keepNext/>
        <w:spacing w:before="200" w:after="60"/>
        <w:jc w:val="left"/>
      </w:pPr>
      <w:r>
        <w:rPr>
          <w:rFonts w:ascii="Times New Roman" w:hAnsi="Times New Roman"/>
          <w:i/>
          <w:color w:val="000000"/>
          <w:sz w:val="20"/>
        </w:rPr>
        <w:t>B. Multi-Agent Reinforcement Learning for Marine Robotics</w:t>
      </w:r>
    </w:p>
    <w:p>
      <w:pPr>
        <w:spacing w:before="0" w:after="80" w:line="252" w:lineRule="auto"/>
        <w:ind w:firstLine="216"/>
        <w:jc w:val="both"/>
      </w:pPr>
      <w:r>
        <w:rPr>
          <w:rFonts w:ascii="Times New Roman" w:hAnsi="Times New Roman"/>
          <w:color w:val="000000"/>
          <w:sz w:val="20"/>
        </w:rPr>
        <w:t>The advent of actor-critic cooperative MARL—notably MADDPG [6] and MAPPO [5]—enabled multi-agent fleets to learn non-linear encirclement behaviors directly from hydrodynamic interactions. Chen et al. [11] investigated safe reinforcement learning for USV fleets, while Yu et al. [5] established the empirical superiority of on-policy PPO over off-policy value factorization (QMIX [12]) in cooperative benchmark environments. However, existing MARL architectures treat agent dynamics as static and invariant. When an agent experiences physical thrust degradation or telemetry drift, the frozen actor neural networks encounter unmodeled state-action spaces, causing the entire fleet to collapse inward [13].</w:t>
      </w:r>
    </w:p>
    <w:p>
      <w:pPr>
        <w:keepNext/>
        <w:spacing w:before="200" w:after="60"/>
        <w:jc w:val="left"/>
      </w:pPr>
      <w:r>
        <w:rPr>
          <w:rFonts w:ascii="Times New Roman" w:hAnsi="Times New Roman"/>
          <w:i/>
          <w:color w:val="000000"/>
          <w:sz w:val="20"/>
        </w:rPr>
        <w:t>C. Fault Detection and Control Barrier Functions</w:t>
      </w:r>
    </w:p>
    <w:p>
      <w:pPr>
        <w:spacing w:before="0" w:after="80" w:line="252" w:lineRule="auto"/>
        <w:ind w:firstLine="216"/>
        <w:jc w:val="both"/>
      </w:pPr>
      <w:r>
        <w:rPr>
          <w:rFonts w:ascii="Times New Roman" w:hAnsi="Times New Roman"/>
          <w:color w:val="000000"/>
          <w:sz w:val="20"/>
        </w:rPr>
        <w:t>Fault Detection and Isolation (FDI) in marine robotics has traditionally employed extended Kalman filter (EKF) residual thresholds or parity-space techniques [14]. Recently, gradient-boosted decision trees (XGBoost) [15] have demonstrated exceptional multi-class classification precision on non-linear physical residuals without imposing heavy neural inference overhead. For safety-critical autonomy, Control Barrier Functions (CBF), pioneered by Ames et al. [16], formulate forward invariant set conditions as linear constraints inside quadratic optimization programs, providing provable collision avoidance guarantees [17]. FA-MAPPO synthesizes these decoupled domains into a unified, fault-tolerant robotic architecture.</w:t>
      </w:r>
    </w:p>
    <w:p>
      <w:pPr>
        <w:keepNext/>
        <w:spacing w:before="160" w:after="60"/>
        <w:jc w:val="center"/>
      </w:pPr>
      <w:r>
        <w:drawing>
          <wp:inline xmlns:a="http://schemas.openxmlformats.org/drawingml/2006/main" xmlns:pic="http://schemas.openxmlformats.org/drawingml/2006/picture">
            <wp:extent cx="3063240" cy="1580431"/>
            <wp:docPr id="2" name="Picture 2"/>
            <wp:cNvGraphicFramePr>
              <a:graphicFrameLocks noChangeAspect="1"/>
            </wp:cNvGraphicFramePr>
            <a:graphic>
              <a:graphicData uri="http://schemas.openxmlformats.org/drawingml/2006/picture">
                <pic:pic>
                  <pic:nvPicPr>
                    <pic:cNvPr id="0" name="fig02_taxonomy.png"/>
                    <pic:cNvPicPr/>
                  </pic:nvPicPr>
                  <pic:blipFill>
                    <a:blip r:embed="rId10"/>
                    <a:stretch>
                      <a:fillRect/>
                    </a:stretch>
                  </pic:blipFill>
                  <pic:spPr>
                    <a:xfrm>
                      <a:off x="0" y="0"/>
                      <a:ext cx="3063240" cy="1580431"/>
                    </a:xfrm>
                    <a:prstGeom prst="rect"/>
                  </pic:spPr>
                </pic:pic>
              </a:graphicData>
            </a:graphic>
          </wp:inline>
        </w:drawing>
      </w:r>
    </w:p>
    <w:p>
      <w:pPr>
        <w:spacing w:before="20" w:after="160" w:line="240" w:lineRule="auto"/>
        <w:jc w:val="both"/>
      </w:pPr>
      <w:r>
        <w:rPr>
          <w:rFonts w:ascii="Times New Roman" w:hAnsi="Times New Roman"/>
          <w:b/>
          <w:sz w:val="16"/>
        </w:rPr>
        <w:t xml:space="preserve">Fig. 2. </w:t>
      </w:r>
      <w:r>
        <w:rPr>
          <w:rFonts w:ascii="Times New Roman" w:hAnsi="Times New Roman"/>
          <w:sz w:val="16"/>
        </w:rPr>
        <w:t>Multi-tiered maritime fault taxonomy and autonomous architectural mitigation hierarchy across operational levels.</w:t>
      </w:r>
    </w:p>
    <w:p>
      <w:pPr>
        <w:keepNext/>
        <w:spacing w:before="160" w:after="20"/>
        <w:jc w:val="center"/>
      </w:pPr>
      <w:r>
        <w:rPr>
          <w:rFonts w:ascii="Times New Roman" w:hAnsi="Times New Roman"/>
          <w:b/>
          <w:sz w:val="17"/>
        </w:rPr>
        <w:t>TABLE I</w:t>
        <w:br/>
      </w:r>
      <w:r>
        <w:rPr>
          <w:rFonts w:ascii="Times New Roman" w:hAnsi="Times New Roman"/>
          <w:sz w:val="16"/>
        </w:rPr>
        <w:t>TAXONOMICAL COMPARISON OF MARITIME SWARM ARCHITECTURES</w:t>
      </w:r>
    </w:p>
    <w:tbl>
      <w:tblPr>
        <w:tblW w:type="auto" w:w="0"/>
        <w:jc w:val="left"/>
        <w:tblLayout w:type="fixed"/>
        <w:tblLook w:firstColumn="1" w:firstRow="1" w:lastColumn="0" w:lastRow="0" w:noHBand="0" w:noVBand="1" w:val="04A0"/>
        <w:tblW w:w="4800" w:type="dxa"/>
        <w:tblLayout w:type="fixed"/>
        <w:tblBorders>
          <w:top w:val="single" w:sz="10" w:space="0" w:color="000000"/>
          <w:bottom w:val="single" w:sz="10" w:space="0" w:color="000000"/>
          <w:left w:val="none"/>
          <w:right w:val="none"/>
          <w:insideH w:val="none"/>
          <w:insideV w:val="none"/>
        </w:tblBorders>
      </w:tblPr>
      <w:tblGrid>
        <w:gridCol w:w="2022"/>
        <w:gridCol w:w="2022"/>
        <w:gridCol w:w="2022"/>
        <w:gridCol w:w="2022"/>
        <w:gridCol w:w="2022"/>
      </w:tblGrid>
      <w:tr>
        <w:trPr>
          <w:cantSplit/>
        </w:trPr>
        <w:tc>
          <w:tcPr>
            <w:tcW w:type="dxa" w:w="1080"/>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Paradigm</w:t>
            </w:r>
          </w:p>
        </w:tc>
        <w:tc>
          <w:tcPr>
            <w:tcW w:type="dxa" w:w="936"/>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FDI Engine</w:t>
            </w:r>
          </w:p>
        </w:tc>
        <w:tc>
          <w:tcPr>
            <w:tcW w:type="dxa" w:w="1008"/>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Reallocation</w:t>
            </w:r>
          </w:p>
        </w:tc>
        <w:tc>
          <w:tcPr>
            <w:tcW w:type="dxa" w:w="1080"/>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Safety Shield</w:t>
            </w:r>
          </w:p>
        </w:tc>
        <w:tc>
          <w:tcPr>
            <w:tcW w:type="dxa" w:w="763"/>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Retention</w:t>
            </w:r>
          </w:p>
        </w:tc>
      </w:tr>
      <w:tr>
        <w:trPr>
          <w:cantSplit/>
        </w:trPr>
        <w:tc>
          <w:tcPr>
            <w:tcW w:type="dxa" w:w="1080"/>
            <w:tcMar>
              <w:top w:w="30" w:type="dxa"/>
              <w:bottom w:w="30" w:type="dxa"/>
              <w:left w:w="30" w:type="dxa"/>
              <w:right w:w="30" w:type="dxa"/>
            </w:tcMar>
            <w:shd w:fill="FFFFFF"/>
          </w:tcPr>
          <w:p>
            <w:pPr>
              <w:spacing w:before="20" w:after="20" w:line="240" w:lineRule="auto"/>
              <w:jc w:val="left"/>
            </w:pPr>
            <w:r>
              <w:rPr>
                <w:rFonts w:ascii="Times New Roman" w:hAnsi="Times New Roman"/>
                <w:sz w:val="15"/>
              </w:rPr>
              <w:t>APF [8]</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None</w:t>
            </w:r>
          </w:p>
        </w:tc>
        <w:tc>
          <w:tcPr>
            <w:tcW w:type="dxa" w:w="1008"/>
            <w:tcMar>
              <w:top w:w="30" w:type="dxa"/>
              <w:bottom w:w="30" w:type="dxa"/>
              <w:left w:w="30" w:type="dxa"/>
              <w:right w:w="30" w:type="dxa"/>
            </w:tcMar>
            <w:shd w:fill="FFFFFF"/>
          </w:tcPr>
          <w:p>
            <w:pPr>
              <w:spacing w:before="20" w:after="20" w:line="240" w:lineRule="auto"/>
              <w:jc w:val="center"/>
            </w:pPr>
            <w:r>
              <w:rPr>
                <w:rFonts w:ascii="Times New Roman" w:hAnsi="Times New Roman"/>
                <w:sz w:val="15"/>
              </w:rPr>
              <w:t>None (Static)</w:t>
            </w:r>
          </w:p>
        </w:tc>
        <w:tc>
          <w:tcPr>
            <w:tcW w:type="dxa" w:w="1080"/>
            <w:tcMar>
              <w:top w:w="30" w:type="dxa"/>
              <w:bottom w:w="30" w:type="dxa"/>
              <w:left w:w="30" w:type="dxa"/>
              <w:right w:w="30" w:type="dxa"/>
            </w:tcMar>
            <w:shd w:fill="FFFFFF"/>
          </w:tcPr>
          <w:p>
            <w:pPr>
              <w:spacing w:before="20" w:after="20" w:line="240" w:lineRule="auto"/>
              <w:jc w:val="center"/>
            </w:pPr>
            <w:r>
              <w:rPr>
                <w:rFonts w:ascii="Times New Roman" w:hAnsi="Times New Roman"/>
                <w:sz w:val="15"/>
              </w:rPr>
              <w:t>Repulsive Field</w:t>
            </w:r>
          </w:p>
        </w:tc>
        <w:tc>
          <w:tcPr>
            <w:tcW w:type="dxa" w:w="763"/>
            <w:tcMar>
              <w:top w:w="30" w:type="dxa"/>
              <w:bottom w:w="30" w:type="dxa"/>
              <w:left w:w="30" w:type="dxa"/>
              <w:right w:w="30" w:type="dxa"/>
            </w:tcMar>
            <w:shd w:fill="FFFFFF"/>
          </w:tcPr>
          <w:p>
            <w:pPr>
              <w:spacing w:before="20" w:after="20" w:line="240" w:lineRule="auto"/>
              <w:jc w:val="center"/>
            </w:pPr>
            <w:r>
              <w:rPr>
                <w:rFonts w:ascii="Times New Roman" w:hAnsi="Times New Roman"/>
                <w:sz w:val="15"/>
              </w:rPr>
              <w:t>41.0%</w:t>
            </w:r>
          </w:p>
        </w:tc>
      </w:tr>
      <w:tr>
        <w:trPr>
          <w:cantSplit/>
        </w:trPr>
        <w:tc>
          <w:tcPr>
            <w:tcW w:type="dxa" w:w="1080"/>
            <w:tcMar>
              <w:top w:w="30" w:type="dxa"/>
              <w:bottom w:w="30" w:type="dxa"/>
              <w:left w:w="30" w:type="dxa"/>
              <w:right w:w="30" w:type="dxa"/>
            </w:tcMar>
            <w:shd w:fill="F4F4F4"/>
          </w:tcPr>
          <w:p>
            <w:pPr>
              <w:spacing w:before="20" w:after="20" w:line="240" w:lineRule="auto"/>
              <w:jc w:val="left"/>
            </w:pPr>
            <w:r>
              <w:rPr>
                <w:rFonts w:ascii="Times New Roman" w:hAnsi="Times New Roman"/>
                <w:sz w:val="15"/>
              </w:rPr>
              <w:t>IPPO [5]</w:t>
            </w:r>
          </w:p>
        </w:tc>
        <w:tc>
          <w:tcPr>
            <w:tcW w:type="dxa" w:w="936"/>
            <w:tcMar>
              <w:top w:w="30" w:type="dxa"/>
              <w:bottom w:w="30" w:type="dxa"/>
              <w:left w:w="30" w:type="dxa"/>
              <w:right w:w="30" w:type="dxa"/>
            </w:tcMar>
            <w:shd w:fill="F4F4F4"/>
          </w:tcPr>
          <w:p>
            <w:pPr>
              <w:spacing w:before="20" w:after="20" w:line="240" w:lineRule="auto"/>
              <w:jc w:val="center"/>
            </w:pPr>
            <w:r>
              <w:rPr>
                <w:rFonts w:ascii="Times New Roman" w:hAnsi="Times New Roman"/>
                <w:sz w:val="15"/>
              </w:rPr>
              <w:t>None</w:t>
            </w:r>
          </w:p>
        </w:tc>
        <w:tc>
          <w:tcPr>
            <w:tcW w:type="dxa" w:w="1008"/>
            <w:tcMar>
              <w:top w:w="30" w:type="dxa"/>
              <w:bottom w:w="30" w:type="dxa"/>
              <w:left w:w="30" w:type="dxa"/>
              <w:right w:w="30" w:type="dxa"/>
            </w:tcMar>
            <w:shd w:fill="F4F4F4"/>
          </w:tcPr>
          <w:p>
            <w:pPr>
              <w:spacing w:before="20" w:after="20" w:line="240" w:lineRule="auto"/>
              <w:jc w:val="center"/>
            </w:pPr>
            <w:r>
              <w:rPr>
                <w:rFonts w:ascii="Times New Roman" w:hAnsi="Times New Roman"/>
                <w:sz w:val="15"/>
              </w:rPr>
              <w:t>Greedy</w:t>
            </w:r>
          </w:p>
        </w:tc>
        <w:tc>
          <w:tcPr>
            <w:tcW w:type="dxa" w:w="1080"/>
            <w:tcMar>
              <w:top w:w="30" w:type="dxa"/>
              <w:bottom w:w="30" w:type="dxa"/>
              <w:left w:w="30" w:type="dxa"/>
              <w:right w:w="30" w:type="dxa"/>
            </w:tcMar>
            <w:shd w:fill="F4F4F4"/>
          </w:tcPr>
          <w:p>
            <w:pPr>
              <w:spacing w:before="20" w:after="20" w:line="240" w:lineRule="auto"/>
              <w:jc w:val="center"/>
            </w:pPr>
            <w:r>
              <w:rPr>
                <w:rFonts w:ascii="Times New Roman" w:hAnsi="Times New Roman"/>
                <w:sz w:val="15"/>
              </w:rPr>
              <w:t>Penalty Reward</w:t>
            </w:r>
          </w:p>
        </w:tc>
        <w:tc>
          <w:tcPr>
            <w:tcW w:type="dxa" w:w="763"/>
            <w:tcMar>
              <w:top w:w="30" w:type="dxa"/>
              <w:bottom w:w="30" w:type="dxa"/>
              <w:left w:w="30" w:type="dxa"/>
              <w:right w:w="30" w:type="dxa"/>
            </w:tcMar>
            <w:shd w:fill="F4F4F4"/>
          </w:tcPr>
          <w:p>
            <w:pPr>
              <w:spacing w:before="20" w:after="20" w:line="240" w:lineRule="auto"/>
              <w:jc w:val="center"/>
            </w:pPr>
            <w:r>
              <w:rPr>
                <w:rFonts w:ascii="Times New Roman" w:hAnsi="Times New Roman"/>
                <w:sz w:val="15"/>
              </w:rPr>
              <w:t>52.0%</w:t>
            </w:r>
          </w:p>
        </w:tc>
      </w:tr>
      <w:tr>
        <w:trPr>
          <w:cantSplit/>
        </w:trPr>
        <w:tc>
          <w:tcPr>
            <w:tcW w:type="dxa" w:w="1080"/>
            <w:tcMar>
              <w:top w:w="30" w:type="dxa"/>
              <w:bottom w:w="30" w:type="dxa"/>
              <w:left w:w="30" w:type="dxa"/>
              <w:right w:w="30" w:type="dxa"/>
            </w:tcMar>
            <w:shd w:fill="FFFFFF"/>
          </w:tcPr>
          <w:p>
            <w:pPr>
              <w:spacing w:before="20" w:after="20" w:line="240" w:lineRule="auto"/>
              <w:jc w:val="left"/>
            </w:pPr>
            <w:r>
              <w:rPr>
                <w:rFonts w:ascii="Times New Roman" w:hAnsi="Times New Roman"/>
                <w:sz w:val="15"/>
              </w:rPr>
              <w:t>MAPPO [5]</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None</w:t>
            </w:r>
          </w:p>
        </w:tc>
        <w:tc>
          <w:tcPr>
            <w:tcW w:type="dxa" w:w="1008"/>
            <w:tcMar>
              <w:top w:w="30" w:type="dxa"/>
              <w:bottom w:w="30" w:type="dxa"/>
              <w:left w:w="30" w:type="dxa"/>
              <w:right w:w="30" w:type="dxa"/>
            </w:tcMar>
            <w:shd w:fill="FFFFFF"/>
          </w:tcPr>
          <w:p>
            <w:pPr>
              <w:spacing w:before="20" w:after="20" w:line="240" w:lineRule="auto"/>
              <w:jc w:val="center"/>
            </w:pPr>
            <w:r>
              <w:rPr>
                <w:rFonts w:ascii="Times New Roman" w:hAnsi="Times New Roman"/>
                <w:sz w:val="15"/>
              </w:rPr>
              <w:t>Implicit RL</w:t>
            </w:r>
          </w:p>
        </w:tc>
        <w:tc>
          <w:tcPr>
            <w:tcW w:type="dxa" w:w="1080"/>
            <w:tcMar>
              <w:top w:w="30" w:type="dxa"/>
              <w:bottom w:w="30" w:type="dxa"/>
              <w:left w:w="30" w:type="dxa"/>
              <w:right w:w="30" w:type="dxa"/>
            </w:tcMar>
            <w:shd w:fill="FFFFFF"/>
          </w:tcPr>
          <w:p>
            <w:pPr>
              <w:spacing w:before="20" w:after="20" w:line="240" w:lineRule="auto"/>
              <w:jc w:val="center"/>
            </w:pPr>
            <w:r>
              <w:rPr>
                <w:rFonts w:ascii="Times New Roman" w:hAnsi="Times New Roman"/>
                <w:sz w:val="15"/>
              </w:rPr>
              <w:t>Penalty Reward</w:t>
            </w:r>
          </w:p>
        </w:tc>
        <w:tc>
          <w:tcPr>
            <w:tcW w:type="dxa" w:w="763"/>
            <w:tcMar>
              <w:top w:w="30" w:type="dxa"/>
              <w:bottom w:w="30" w:type="dxa"/>
              <w:left w:w="30" w:type="dxa"/>
              <w:right w:w="30" w:type="dxa"/>
            </w:tcMar>
            <w:shd w:fill="FFFFFF"/>
          </w:tcPr>
          <w:p>
            <w:pPr>
              <w:spacing w:before="20" w:after="20" w:line="240" w:lineRule="auto"/>
              <w:jc w:val="center"/>
            </w:pPr>
            <w:r>
              <w:rPr>
                <w:rFonts w:ascii="Times New Roman" w:hAnsi="Times New Roman"/>
                <w:sz w:val="15"/>
              </w:rPr>
              <w:t>68.0%</w:t>
            </w:r>
          </w:p>
        </w:tc>
      </w:tr>
      <w:tr>
        <w:trPr>
          <w:cantSplit/>
        </w:trPr>
        <w:tc>
          <w:tcPr>
            <w:tcW w:type="dxa" w:w="1080"/>
            <w:tcMar>
              <w:top w:w="30" w:type="dxa"/>
              <w:bottom w:w="30" w:type="dxa"/>
              <w:left w:w="30" w:type="dxa"/>
              <w:right w:w="30" w:type="dxa"/>
            </w:tcMar>
            <w:shd w:fill="F4F4F4"/>
          </w:tcPr>
          <w:p>
            <w:pPr>
              <w:spacing w:before="20" w:after="20" w:line="240" w:lineRule="auto"/>
              <w:jc w:val="left"/>
            </w:pPr>
            <w:r>
              <w:rPr>
                <w:rFonts w:ascii="Times New Roman" w:hAnsi="Times New Roman"/>
                <w:sz w:val="15"/>
              </w:rPr>
              <w:t>MAPPO+CBF</w:t>
            </w:r>
          </w:p>
        </w:tc>
        <w:tc>
          <w:tcPr>
            <w:tcW w:type="dxa" w:w="936"/>
            <w:tcMar>
              <w:top w:w="30" w:type="dxa"/>
              <w:bottom w:w="30" w:type="dxa"/>
              <w:left w:w="30" w:type="dxa"/>
              <w:right w:w="30" w:type="dxa"/>
            </w:tcMar>
            <w:shd w:fill="F4F4F4"/>
          </w:tcPr>
          <w:p>
            <w:pPr>
              <w:spacing w:before="20" w:after="20" w:line="240" w:lineRule="auto"/>
              <w:jc w:val="center"/>
            </w:pPr>
            <w:r>
              <w:rPr>
                <w:rFonts w:ascii="Times New Roman" w:hAnsi="Times New Roman"/>
                <w:sz w:val="15"/>
              </w:rPr>
              <w:t>None</w:t>
            </w:r>
          </w:p>
        </w:tc>
        <w:tc>
          <w:tcPr>
            <w:tcW w:type="dxa" w:w="1008"/>
            <w:tcMar>
              <w:top w:w="30" w:type="dxa"/>
              <w:bottom w:w="30" w:type="dxa"/>
              <w:left w:w="30" w:type="dxa"/>
              <w:right w:w="30" w:type="dxa"/>
            </w:tcMar>
            <w:shd w:fill="F4F4F4"/>
          </w:tcPr>
          <w:p>
            <w:pPr>
              <w:spacing w:before="20" w:after="20" w:line="240" w:lineRule="auto"/>
              <w:jc w:val="center"/>
            </w:pPr>
            <w:r>
              <w:rPr>
                <w:rFonts w:ascii="Times New Roman" w:hAnsi="Times New Roman"/>
                <w:sz w:val="15"/>
              </w:rPr>
              <w:t>Implicit RL</w:t>
            </w:r>
          </w:p>
        </w:tc>
        <w:tc>
          <w:tcPr>
            <w:tcW w:type="dxa" w:w="1080"/>
            <w:tcMar>
              <w:top w:w="30" w:type="dxa"/>
              <w:bottom w:w="30" w:type="dxa"/>
              <w:left w:w="30" w:type="dxa"/>
              <w:right w:w="30" w:type="dxa"/>
            </w:tcMar>
            <w:shd w:fill="F4F4F4"/>
          </w:tcPr>
          <w:p>
            <w:pPr>
              <w:spacing w:before="20" w:after="20" w:line="240" w:lineRule="auto"/>
              <w:jc w:val="center"/>
            </w:pPr>
            <w:r>
              <w:rPr>
                <w:rFonts w:ascii="Times New Roman" w:hAnsi="Times New Roman"/>
                <w:sz w:val="15"/>
              </w:rPr>
              <w:t>20 Hz CBF-QP</w:t>
            </w:r>
          </w:p>
        </w:tc>
        <w:tc>
          <w:tcPr>
            <w:tcW w:type="dxa" w:w="763"/>
            <w:tcMar>
              <w:top w:w="30" w:type="dxa"/>
              <w:bottom w:w="30" w:type="dxa"/>
              <w:left w:w="30" w:type="dxa"/>
              <w:right w:w="30" w:type="dxa"/>
            </w:tcMar>
            <w:shd w:fill="F4F4F4"/>
          </w:tcPr>
          <w:p>
            <w:pPr>
              <w:spacing w:before="20" w:after="20" w:line="240" w:lineRule="auto"/>
              <w:jc w:val="center"/>
            </w:pPr>
            <w:r>
              <w:rPr>
                <w:rFonts w:ascii="Times New Roman" w:hAnsi="Times New Roman"/>
                <w:sz w:val="15"/>
              </w:rPr>
              <w:t>88.0%</w:t>
            </w:r>
          </w:p>
        </w:tc>
      </w:tr>
      <w:tr>
        <w:trPr>
          <w:cantSplit/>
        </w:trPr>
        <w:tc>
          <w:tcPr>
            <w:tcW w:type="dxa" w:w="1080"/>
            <w:tcMar>
              <w:top w:w="30" w:type="dxa"/>
              <w:bottom w:w="30" w:type="dxa"/>
              <w:left w:w="30" w:type="dxa"/>
              <w:right w:w="30" w:type="dxa"/>
            </w:tcMar>
            <w:shd w:fill="FFFFFF"/>
          </w:tcPr>
          <w:p>
            <w:pPr>
              <w:spacing w:before="20" w:after="20" w:line="240" w:lineRule="auto"/>
              <w:jc w:val="left"/>
            </w:pPr>
            <w:r>
              <w:rPr>
                <w:rFonts w:ascii="Times New Roman" w:hAnsi="Times New Roman"/>
                <w:sz w:val="15"/>
              </w:rPr>
              <w:t>Proposed</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14-Res XGB</w:t>
            </w:r>
          </w:p>
        </w:tc>
        <w:tc>
          <w:tcPr>
            <w:tcW w:type="dxa" w:w="1008"/>
            <w:tcMar>
              <w:top w:w="30" w:type="dxa"/>
              <w:bottom w:w="30" w:type="dxa"/>
              <w:left w:w="30" w:type="dxa"/>
              <w:right w:w="30" w:type="dxa"/>
            </w:tcMar>
            <w:shd w:fill="FFFFFF"/>
          </w:tcPr>
          <w:p>
            <w:pPr>
              <w:spacing w:before="20" w:after="20" w:line="240" w:lineRule="auto"/>
              <w:jc w:val="center"/>
            </w:pPr>
            <w:r>
              <w:rPr>
                <w:rFonts w:ascii="Times New Roman" w:hAnsi="Times New Roman"/>
                <w:sz w:val="15"/>
              </w:rPr>
              <w:t>Kuhn-Munkres</w:t>
            </w:r>
          </w:p>
        </w:tc>
        <w:tc>
          <w:tcPr>
            <w:tcW w:type="dxa" w:w="1080"/>
            <w:tcMar>
              <w:top w:w="30" w:type="dxa"/>
              <w:bottom w:w="30" w:type="dxa"/>
              <w:left w:w="30" w:type="dxa"/>
              <w:right w:w="30" w:type="dxa"/>
            </w:tcMar>
            <w:shd w:fill="FFFFFF"/>
          </w:tcPr>
          <w:p>
            <w:pPr>
              <w:spacing w:before="20" w:after="20" w:line="240" w:lineRule="auto"/>
              <w:jc w:val="center"/>
            </w:pPr>
            <w:r>
              <w:rPr>
                <w:rFonts w:ascii="Times New Roman" w:hAnsi="Times New Roman"/>
                <w:sz w:val="15"/>
              </w:rPr>
              <w:t>20 Hz CBF-QP</w:t>
            </w:r>
          </w:p>
        </w:tc>
        <w:tc>
          <w:tcPr>
            <w:tcW w:type="dxa" w:w="763"/>
            <w:tcMar>
              <w:top w:w="30" w:type="dxa"/>
              <w:bottom w:w="30" w:type="dxa"/>
              <w:left w:w="30" w:type="dxa"/>
              <w:right w:w="30" w:type="dxa"/>
            </w:tcMar>
            <w:shd w:fill="FFFFFF"/>
          </w:tcPr>
          <w:p>
            <w:pPr>
              <w:spacing w:before="20" w:after="20" w:line="240" w:lineRule="auto"/>
              <w:jc w:val="center"/>
            </w:pPr>
            <w:r>
              <w:rPr>
                <w:rFonts w:ascii="Times New Roman" w:hAnsi="Times New Roman"/>
                <w:sz w:val="15"/>
              </w:rPr>
              <w:t>94.8%</w:t>
            </w:r>
          </w:p>
        </w:tc>
      </w:tr>
    </w:tbl>
    <w:p>
      <w:pPr>
        <w:spacing w:before="0" w:after="80"/>
      </w:pPr>
    </w:p>
    <w:p>
      <w:pPr>
        <w:keepNext/>
        <w:spacing w:before="280" w:after="80"/>
        <w:jc w:val="center"/>
      </w:pPr>
      <w:r>
        <w:rPr>
          <w:rFonts w:ascii="Times New Roman" w:hAnsi="Times New Roman"/>
          <w:b/>
          <w:color w:val="000000"/>
          <w:sz w:val="20"/>
        </w:rPr>
        <w:t>III. HYDRODYNAMIC MODELING &amp; PROBLEM FORMULATION</w:t>
      </w:r>
    </w:p>
    <w:p>
      <w:pPr>
        <w:keepNext/>
        <w:spacing w:before="200" w:after="60"/>
        <w:jc w:val="left"/>
      </w:pPr>
      <w:r>
        <w:rPr>
          <w:rFonts w:ascii="Times New Roman" w:hAnsi="Times New Roman"/>
          <w:i/>
          <w:color w:val="000000"/>
          <w:sz w:val="20"/>
        </w:rPr>
        <w:t>A. Coordinate Systems and Fossen 3-DOF Kinematics</w:t>
      </w:r>
    </w:p>
    <w:p>
      <w:pPr>
        <w:spacing w:before="0" w:after="80" w:line="252" w:lineRule="auto"/>
        <w:ind w:firstLine="216"/>
        <w:jc w:val="both"/>
      </w:pPr>
      <w:r>
        <w:rPr>
          <w:rFonts w:ascii="Times New Roman" w:hAnsi="Times New Roman"/>
          <w:color w:val="000000"/>
          <w:sz w:val="20"/>
        </w:rPr>
        <w:t>Maritime surface craft operating in littoral environments are governed by Fossen's standard 3-DOF non-linear surge-sway-yaw hydrodynamic equations of motion [18]. Two orthogonal reference frames are defined: the Earth-fixed North-East-Down (NED) frame {n} with origin (x_N, y_E), and the vessel Body-fixed frame {b} anchored at the vessel Center of Gravity (CG) with longitudinal surge axis x_b forward and sway axis y_b pointing starboard (Fig. 3).</w:t>
      </w:r>
    </w:p>
    <w:p>
      <w:pPr>
        <w:spacing w:before="0" w:after="80" w:line="252" w:lineRule="auto"/>
        <w:ind w:firstLine="216"/>
        <w:jc w:val="both"/>
      </w:pPr>
      <w:r>
        <w:rPr>
          <w:rFonts w:ascii="Times New Roman" w:hAnsi="Times New Roman"/>
          <w:color w:val="000000"/>
          <w:sz w:val="20"/>
        </w:rPr>
        <w:t>The kinematic state vector in the Earth-fixed frame is denoted by η = [x, y, ψ]^T, where (x, y) represents global coordinates and ψ denotes heading angle measured clockwise from True North. The body-fixed velocity vector is denoted by ν = [u, v, r]^T, where u is surge velocity, v is sway velocity, and r is yaw angular rate. The kinematic transformation is given by:</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7"/>
              </w:rPr>
              <w:t>dη/dt = R(ψ) · ν</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(1)</w:t>
            </w:r>
          </w:p>
        </w:tc>
      </w:tr>
    </w:tbl>
    <w:p>
      <w:pPr>
        <w:spacing w:before="0" w:after="60"/>
      </w:pPr>
    </w:p>
    <w:p>
      <w:pPr>
        <w:spacing w:before="0" w:after="80" w:line="252" w:lineRule="auto"/>
        <w:ind w:firstLine="216"/>
        <w:jc w:val="both"/>
      </w:pPr>
      <w:r>
        <w:rPr>
          <w:rFonts w:ascii="Times New Roman" w:hAnsi="Times New Roman"/>
          <w:color w:val="000000"/>
          <w:sz w:val="20"/>
        </w:rPr>
        <w:t>where the orthogonal rotation matrix R(ψ) is defined as:</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6"/>
              </w:rPr>
              <w:t>R(ψ) = [[cos ψ, -sin ψ, 0], [sin ψ, cos ψ, 0], [0, 0, 1]]</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(2)</w:t>
            </w:r>
          </w:p>
        </w:tc>
      </w:tr>
    </w:tbl>
    <w:p>
      <w:pPr>
        <w:spacing w:before="0" w:after="60"/>
      </w:pPr>
    </w:p>
    <w:p>
      <w:pPr>
        <w:spacing w:before="0" w:after="80" w:line="252" w:lineRule="auto"/>
        <w:ind w:firstLine="216"/>
        <w:jc w:val="both"/>
      </w:pPr>
      <w:r>
        <w:rPr>
          <w:rFonts w:ascii="Times New Roman" w:hAnsi="Times New Roman"/>
          <w:color w:val="000000"/>
          <w:sz w:val="20"/>
        </w:rPr>
        <w:t>The dynamic equations of motion incorporating rigid-body inertia, hydrodynamic added mass, Coriolis-centripetal forces, hydrodynamic damping, and environmental wave drift are formulated as:</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7"/>
              </w:rPr>
              <w:t>M · dν/dt + C(ν) · ν + D(ν) · ν = τ + τ_env</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(3)</w:t>
            </w:r>
          </w:p>
        </w:tc>
      </w:tr>
    </w:tbl>
    <w:p>
      <w:pPr>
        <w:spacing w:before="0" w:after="60"/>
      </w:pPr>
    </w:p>
    <w:p>
      <w:pPr>
        <w:spacing w:before="0" w:after="80" w:line="252" w:lineRule="auto"/>
        <w:ind w:firstLine="216"/>
        <w:jc w:val="both"/>
      </w:pPr>
      <w:r>
        <w:rPr>
          <w:rFonts w:ascii="Times New Roman" w:hAnsi="Times New Roman"/>
          <w:color w:val="000000"/>
          <w:sz w:val="20"/>
        </w:rPr>
        <w:t>The total system inertia matrix M ∈ R^{3×3} comprises the rigid-body inertia M_RB and the added-mass matrix M_A:</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6"/>
              </w:rPr>
              <w:t>M = M_RB + M_A = [[m - X_udot, 0, 0], [0, m - Y_vdot, -Y_rdot], [0, -N_vdot, I_z - N_rdot]]</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(4)</w:t>
            </w:r>
          </w:p>
        </w:tc>
      </w:tr>
    </w:tbl>
    <w:p>
      <w:pPr>
        <w:spacing w:before="0" w:after="60"/>
      </w:pPr>
    </w:p>
    <w:p>
      <w:pPr>
        <w:spacing w:before="0" w:after="80" w:line="252" w:lineRule="auto"/>
        <w:ind w:firstLine="216"/>
        <w:jc w:val="both"/>
      </w:pPr>
      <w:r>
        <w:rPr>
          <w:rFonts w:ascii="Times New Roman" w:hAnsi="Times New Roman"/>
          <w:color w:val="000000"/>
          <w:sz w:val="20"/>
        </w:rPr>
        <w:t>where m is vessel dry mass (180.0 kg), I_z is vessel yaw moment of inertia (120.0 kg·m²), and X_udot, Y_vdot, Y_rdot, N_vdot, N_rdot represent hydrodynamic added-mass derivatives [18]. The damping matrix D(ν) models decoupled linear skin friction and coupled non-linear cross-flow drag:</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6"/>
              </w:rPr>
              <w:t>D(ν) = diag(X_u + X_u|u||u|, Y_v + Y_v|v||v|, N_r + N_r|r||r|)</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(5)</w:t>
            </w:r>
          </w:p>
        </w:tc>
      </w:tr>
    </w:tbl>
    <w:p>
      <w:pPr>
        <w:spacing w:before="0" w:after="60"/>
      </w:pPr>
    </w:p>
    <w:p>
      <w:pPr>
        <w:keepNext/>
        <w:spacing w:before="160" w:after="60"/>
        <w:jc w:val="center"/>
      </w:pPr>
      <w:r>
        <w:drawing>
          <wp:inline xmlns:a="http://schemas.openxmlformats.org/drawingml/2006/main" xmlns:pic="http://schemas.openxmlformats.org/drawingml/2006/picture">
            <wp:extent cx="3063240" cy="3063240"/>
            <wp:docPr id="3" name="Picture 3"/>
            <wp:cNvGraphicFramePr>
              <a:graphicFrameLocks noChangeAspect="1"/>
            </wp:cNvGraphicFramePr>
            <a:graphic>
              <a:graphicData uri="http://schemas.openxmlformats.org/drawingml/2006/picture">
                <pic:pic>
                  <pic:nvPicPr>
                    <pic:cNvPr id="0" name="fig03_fossen_frames.png"/>
                    <pic:cNvPicPr/>
                  </pic:nvPicPr>
                  <pic:blipFill>
                    <a:blip r:embed="rId11"/>
                    <a:stretch>
                      <a:fillRect/>
                    </a:stretch>
                  </pic:blipFill>
                  <pic:spPr>
                    <a:xfrm>
                      <a:off x="0" y="0"/>
                      <a:ext cx="3063240" cy="3063240"/>
                    </a:xfrm>
                    <a:prstGeom prst="rect"/>
                  </pic:spPr>
                </pic:pic>
              </a:graphicData>
            </a:graphic>
          </wp:inline>
        </w:drawing>
      </w:r>
    </w:p>
    <w:p>
      <w:pPr>
        <w:spacing w:before="20" w:after="160" w:line="240" w:lineRule="auto"/>
        <w:jc w:val="both"/>
      </w:pPr>
      <w:r>
        <w:rPr>
          <w:rFonts w:ascii="Times New Roman" w:hAnsi="Times New Roman"/>
          <w:b/>
          <w:sz w:val="16"/>
        </w:rPr>
        <w:t xml:space="preserve">Fig. 3. </w:t>
      </w:r>
      <w:r>
        <w:rPr>
          <w:rFonts w:ascii="Times New Roman" w:hAnsi="Times New Roman"/>
          <w:sz w:val="16"/>
        </w:rPr>
        <w:t>Kinematic and dynamic coordinate frames: Earth-Fixed NED {n} vs Vessel Body-Fixed {b} with stern thruster vector allocations.</w:t>
      </w:r>
    </w:p>
    <w:p>
      <w:pPr>
        <w:keepNext/>
        <w:spacing w:before="200" w:after="60"/>
        <w:jc w:val="left"/>
      </w:pPr>
      <w:r>
        <w:rPr>
          <w:rFonts w:ascii="Times New Roman" w:hAnsi="Times New Roman"/>
          <w:i/>
          <w:color w:val="000000"/>
          <w:sz w:val="20"/>
        </w:rPr>
        <w:t>B. Actuator Allocation and Physical Degradation Models</w:t>
      </w:r>
    </w:p>
    <w:p>
      <w:pPr>
        <w:spacing w:before="0" w:after="80" w:line="252" w:lineRule="auto"/>
        <w:ind w:firstLine="216"/>
        <w:jc w:val="both"/>
      </w:pPr>
      <w:r>
        <w:rPr>
          <w:rFonts w:ascii="Times New Roman" w:hAnsi="Times New Roman"/>
          <w:color w:val="000000"/>
          <w:sz w:val="20"/>
        </w:rPr>
        <w:t>Each catamaran vessel is propelled by dual differential stern electric thrusters separated by beam width B = 0.65 m. The total control force vector τ = [τ_u, 0, τ_r]^T maps from individual port (T_port) and starboard (T_stbd) thrust inputs via:</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6"/>
              </w:rPr>
              <w:t>τ_u = T_port + T_stbd,    τ_r = (T_port - T_stbd) · (B / 2)</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(6)</w:t>
            </w:r>
          </w:p>
        </w:tc>
      </w:tr>
    </w:tbl>
    <w:p>
      <w:pPr>
        <w:spacing w:before="0" w:after="60"/>
      </w:pPr>
    </w:p>
    <w:p>
      <w:pPr>
        <w:spacing w:before="0" w:after="80" w:line="252" w:lineRule="auto"/>
        <w:ind w:firstLine="216"/>
        <w:jc w:val="both"/>
      </w:pPr>
      <w:r>
        <w:rPr>
          <w:rFonts w:ascii="Times New Roman" w:hAnsi="Times New Roman"/>
          <w:color w:val="000000"/>
          <w:sz w:val="20"/>
        </w:rPr>
        <w:t>Actuator degradation on vessel k is modeled via efficiency coefficient α_k ∈ [0, 1] and additive thrust disturbance d_T:</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7"/>
              </w:rPr>
              <w:t>T_{act,k} = α_k · T_{cmd,k} + d_T(t)</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(7)</w:t>
            </w:r>
          </w:p>
        </w:tc>
      </w:tr>
    </w:tbl>
    <w:p>
      <w:pPr>
        <w:spacing w:before="0" w:after="60"/>
      </w:pPr>
    </w:p>
    <w:p>
      <w:pPr>
        <w:spacing w:before="0" w:after="80" w:line="252" w:lineRule="auto"/>
        <w:ind w:firstLine="216"/>
        <w:jc w:val="both"/>
      </w:pPr>
      <w:r>
        <w:rPr>
          <w:rFonts w:ascii="Times New Roman" w:hAnsi="Times New Roman"/>
          <w:color w:val="000000"/>
          <w:sz w:val="20"/>
        </w:rPr>
        <w:t>Under nominal operation, α_k = 1.0. Under partial thruster entanglement, α_k ∈ [0.2, 0.6], inducing significant surge-yaw coupling. Under complete actuator failure, α_k = 0.0.</w:t>
      </w:r>
    </w:p>
    <w:p>
      <w:pPr>
        <w:keepNext/>
        <w:spacing w:before="200" w:after="60"/>
        <w:jc w:val="left"/>
      </w:pPr>
      <w:r>
        <w:rPr>
          <w:rFonts w:ascii="Times New Roman" w:hAnsi="Times New Roman"/>
          <w:i/>
          <w:color w:val="000000"/>
          <w:sz w:val="20"/>
        </w:rPr>
        <w:t>C. Target Standoff Encirclement Geometry</w:t>
      </w:r>
    </w:p>
    <w:p>
      <w:pPr>
        <w:spacing w:before="0" w:after="80" w:line="252" w:lineRule="auto"/>
        <w:ind w:firstLine="216"/>
        <w:jc w:val="both"/>
      </w:pPr>
      <w:r>
        <w:rPr>
          <w:rFonts w:ascii="Times New Roman" w:hAnsi="Times New Roman"/>
          <w:color w:val="000000"/>
          <w:sz w:val="20"/>
        </w:rPr>
        <w:t>The swarm objective is to track, encircle, and contain a dynamic surface target vessel whose state is x_T = [p_T^T, ψ_T, v_T]^T, where p_T = [x_T, y_T]^T. The target exhibits reactive evasion away from the swarm centroid. The swarm defines an ideal standoff circular orbit of radius R_orbit = 20.0 m centered on p_T (Fig. 4).</w:t>
      </w:r>
    </w:p>
    <w:p>
      <w:pPr>
        <w:spacing w:before="0" w:after="80" w:line="252" w:lineRule="auto"/>
        <w:ind w:firstLine="216"/>
        <w:jc w:val="both"/>
      </w:pPr>
      <w:r>
        <w:rPr>
          <w:rFonts w:ascii="Times New Roman" w:hAnsi="Times New Roman"/>
          <w:color w:val="000000"/>
          <w:sz w:val="20"/>
        </w:rPr>
        <w:t>For a fleet of N_active healthy tracking agents, equidistant slot angles ψ_k around the target orbit are computed dynamically as:</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6"/>
              </w:rPr>
              <w:t>ψ_k(t) = θ_T(t) + (2π · k) / N_active,    k ∈ {0, 1, ..., N_active - 1}</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(8)</w:t>
            </w:r>
          </w:p>
        </w:tc>
      </w:tr>
    </w:tbl>
    <w:p>
      <w:pPr>
        <w:spacing w:before="0" w:after="60"/>
      </w:pPr>
    </w:p>
    <w:p>
      <w:pPr>
        <w:spacing w:before="0" w:after="80" w:line="252" w:lineRule="auto"/>
        <w:ind w:firstLine="216"/>
        <w:jc w:val="both"/>
      </w:pPr>
      <w:r>
        <w:rPr>
          <w:rFonts w:ascii="Times New Roman" w:hAnsi="Times New Roman"/>
          <w:color w:val="000000"/>
          <w:sz w:val="20"/>
        </w:rPr>
        <w:t>The target encirclement is evaluated via two primary metrics: radial error e_r,k = |||p_k - p_T|| - R_orbit| and inter-agent angular spread metric S_φ:</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7"/>
              </w:rPr>
              <w:t>S_φ = 1 - (1 / 2π) · Σ |Δφ_k - (2π / N_active)|</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(9)</w:t>
            </w:r>
          </w:p>
        </w:tc>
      </w:tr>
    </w:tbl>
    <w:p>
      <w:pPr>
        <w:spacing w:before="0" w:after="60"/>
      </w:pPr>
    </w:p>
    <w:p>
      <w:pPr>
        <w:keepNext/>
        <w:spacing w:before="160" w:after="60"/>
        <w:jc w:val="center"/>
      </w:pPr>
      <w:r>
        <w:drawing>
          <wp:inline xmlns:a="http://schemas.openxmlformats.org/drawingml/2006/main" xmlns:pic="http://schemas.openxmlformats.org/drawingml/2006/picture">
            <wp:extent cx="3063240" cy="3018979"/>
            <wp:docPr id="4" name="Picture 4"/>
            <wp:cNvGraphicFramePr>
              <a:graphicFrameLocks noChangeAspect="1"/>
            </wp:cNvGraphicFramePr>
            <a:graphic>
              <a:graphicData uri="http://schemas.openxmlformats.org/drawingml/2006/picture">
                <pic:pic>
                  <pic:nvPicPr>
                    <pic:cNvPr id="0" name="fig04_encirclement_geometry.png"/>
                    <pic:cNvPicPr/>
                  </pic:nvPicPr>
                  <pic:blipFill>
                    <a:blip r:embed="rId12"/>
                    <a:stretch>
                      <a:fillRect/>
                    </a:stretch>
                  </pic:blipFill>
                  <pic:spPr>
                    <a:xfrm>
                      <a:off x="0" y="0"/>
                      <a:ext cx="3063240" cy="3018979"/>
                    </a:xfrm>
                    <a:prstGeom prst="rect"/>
                  </pic:spPr>
                </pic:pic>
              </a:graphicData>
            </a:graphic>
          </wp:inline>
        </w:drawing>
      </w:r>
    </w:p>
    <w:p>
      <w:pPr>
        <w:spacing w:before="20" w:after="160" w:line="240" w:lineRule="auto"/>
        <w:jc w:val="both"/>
      </w:pPr>
      <w:r>
        <w:rPr>
          <w:rFonts w:ascii="Times New Roman" w:hAnsi="Times New Roman"/>
          <w:b/>
          <w:sz w:val="16"/>
        </w:rPr>
        <w:t xml:space="preserve">Fig. 4. </w:t>
      </w:r>
      <w:r>
        <w:rPr>
          <w:rFonts w:ascii="Times New Roman" w:hAnsi="Times New Roman"/>
          <w:sz w:val="16"/>
        </w:rPr>
        <w:t>Standoff encirclement geometry: 20m orbit radius, dynamic slots ψ_k, and angular spread metric around reactive target.</w:t>
      </w:r>
    </w:p>
    <w:p>
      <w:pPr>
        <w:keepNext/>
        <w:spacing w:before="280" w:after="80"/>
        <w:jc w:val="center"/>
      </w:pPr>
      <w:r>
        <w:rPr>
          <w:rFonts w:ascii="Times New Roman" w:hAnsi="Times New Roman"/>
          <w:b/>
          <w:color w:val="000000"/>
          <w:sz w:val="20"/>
        </w:rPr>
        <w:t>IV. FAULT-AWARE DUAL-LOOP ARCHITECTURE</w:t>
      </w:r>
    </w:p>
    <w:p>
      <w:pPr>
        <w:spacing w:before="0" w:after="80" w:line="252" w:lineRule="auto"/>
        <w:ind w:firstLine="216"/>
        <w:jc w:val="both"/>
      </w:pPr>
      <w:r>
        <w:rPr>
          <w:rFonts w:ascii="Times New Roman" w:hAnsi="Times New Roman"/>
          <w:color w:val="000000"/>
          <w:sz w:val="20"/>
        </w:rPr>
        <w:t>To ensure high-performance cooperative intelligence without sacrificing physical safety during failures, FA-MAPPO establishes an architecturally decoupled dual-loop structure (Fig. 5): a slow-rate Tactical Planner Loop (1–5 Hz) and a fast-rate Safety Filter Loop (20 Hz).</w:t>
      </w:r>
    </w:p>
    <w:p>
      <w:pPr>
        <w:keepNext/>
        <w:spacing w:before="160" w:after="60"/>
        <w:jc w:val="center"/>
      </w:pPr>
      <w:r>
        <w:drawing>
          <wp:inline xmlns:a="http://schemas.openxmlformats.org/drawingml/2006/main" xmlns:pic="http://schemas.openxmlformats.org/drawingml/2006/picture">
            <wp:extent cx="3063240" cy="1562482"/>
            <wp:docPr id="5" name="Picture 5"/>
            <wp:cNvGraphicFramePr>
              <a:graphicFrameLocks noChangeAspect="1"/>
            </wp:cNvGraphicFramePr>
            <a:graphic>
              <a:graphicData uri="http://schemas.openxmlformats.org/drawingml/2006/picture">
                <pic:pic>
                  <pic:nvPicPr>
                    <pic:cNvPr id="0" name="fig05_dual_loop_arch.png"/>
                    <pic:cNvPicPr/>
                  </pic:nvPicPr>
                  <pic:blipFill>
                    <a:blip r:embed="rId13"/>
                    <a:stretch>
                      <a:fillRect/>
                    </a:stretch>
                  </pic:blipFill>
                  <pic:spPr>
                    <a:xfrm>
                      <a:off x="0" y="0"/>
                      <a:ext cx="3063240" cy="1562482"/>
                    </a:xfrm>
                    <a:prstGeom prst="rect"/>
                  </pic:spPr>
                </pic:pic>
              </a:graphicData>
            </a:graphic>
          </wp:inline>
        </w:drawing>
      </w:r>
    </w:p>
    <w:p>
      <w:pPr>
        <w:spacing w:before="20" w:after="160" w:line="240" w:lineRule="auto"/>
        <w:jc w:val="both"/>
      </w:pPr>
      <w:r>
        <w:rPr>
          <w:rFonts w:ascii="Times New Roman" w:hAnsi="Times New Roman"/>
          <w:b/>
          <w:sz w:val="16"/>
        </w:rPr>
        <w:t xml:space="preserve">Fig. 5. </w:t>
      </w:r>
      <w:r>
        <w:rPr>
          <w:rFonts w:ascii="Times New Roman" w:hAnsi="Times New Roman"/>
          <w:sz w:val="16"/>
        </w:rPr>
        <w:t>Complete Fault-Aware Architecture: Tactical Dual-Loop FA-MAPPO Planner (1-5 Hz) decoupled from 20 Hz CBF Safety Barrier.</w:t>
      </w:r>
    </w:p>
    <w:p>
      <w:pPr>
        <w:keepNext/>
        <w:spacing w:before="200" w:after="60"/>
        <w:jc w:val="left"/>
      </w:pPr>
      <w:r>
        <w:rPr>
          <w:rFonts w:ascii="Times New Roman" w:hAnsi="Times New Roman"/>
          <w:i/>
          <w:color w:val="000000"/>
          <w:sz w:val="20"/>
        </w:rPr>
        <w:t>A. 14-Residual FDI Pipeline and XGBoost Classification</w:t>
      </w:r>
    </w:p>
    <w:p>
      <w:pPr>
        <w:spacing w:before="0" w:after="80" w:line="252" w:lineRule="auto"/>
        <w:ind w:firstLine="216"/>
        <w:jc w:val="both"/>
      </w:pPr>
      <w:r>
        <w:rPr>
          <w:rFonts w:ascii="Times New Roman" w:hAnsi="Times New Roman"/>
          <w:color w:val="000000"/>
          <w:sz w:val="20"/>
        </w:rPr>
        <w:t>The Fault Detection and Isolation (FDI) module ingests 5 raw telemetry streams at 20 Hz: GPS pose (x, y), compass heading ψ, IMU yaw rate r, body surge/sway velocities (u, v), and communication packet timestamp t_pkt. A kinematic EKF propagates expected states based on nominal Fossen equations, yielding 5 innovation residuals:</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6"/>
              </w:rPr>
              <w:t>r_pos = ||p - p_hat||,    r_ψ = |ψ - ψ_hat|,    r_r = |r - r_hat|</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(10)</w:t>
            </w:r>
          </w:p>
        </w:tc>
      </w:tr>
    </w:tbl>
    <w:p>
      <w:pPr>
        <w:spacing w:before="0" w:after="60"/>
      </w:pP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6"/>
              </w:rPr>
              <w:t>r_thrust = u / (T_port + T_stbd),    r_comm = t_curr - t_pkt</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(11)</w:t>
            </w:r>
          </w:p>
        </w:tc>
      </w:tr>
    </w:tbl>
    <w:p>
      <w:pPr>
        <w:spacing w:before="0" w:after="60"/>
      </w:pPr>
    </w:p>
    <w:p>
      <w:pPr>
        <w:spacing w:before="0" w:after="80" w:line="252" w:lineRule="auto"/>
        <w:ind w:firstLine="216"/>
        <w:jc w:val="both"/>
      </w:pPr>
      <w:r>
        <w:rPr>
          <w:rFonts w:ascii="Times New Roman" w:hAnsi="Times New Roman"/>
          <w:color w:val="000000"/>
          <w:sz w:val="20"/>
        </w:rPr>
        <w:t>Statistical feature pooling over a sliding temporal window of W = 3.0 s extracts 14 feature statistics: mean μ_r, variance σ_r², peak max(r), and cumulative drift ∫r dt across all channels (Fig. 6). An XGBoost multi-class classifier (100 gradient boosted trees, max depth = 4) evaluates these 14 features at 5 Hz, outputting normalized class probabilities:</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7"/>
              </w:rPr>
              <w:t>h_k = Softmax(f_XGB(F_k)) ∈ [0, 1]^4</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(12)</w:t>
            </w:r>
          </w:p>
        </w:tc>
      </w:tr>
    </w:tbl>
    <w:p>
      <w:pPr>
        <w:spacing w:before="0" w:after="60"/>
      </w:pPr>
    </w:p>
    <w:p>
      <w:pPr>
        <w:spacing w:before="0" w:after="80" w:line="252" w:lineRule="auto"/>
        <w:ind w:firstLine="216"/>
        <w:jc w:val="both"/>
      </w:pPr>
      <w:r>
        <w:rPr>
          <w:rFonts w:ascii="Times New Roman" w:hAnsi="Times New Roman"/>
          <w:color w:val="000000"/>
          <w:sz w:val="20"/>
        </w:rPr>
        <w:t>corresponding to Class 0 (Nominal), Class 1 (Thruster Loss), Class 2 (GPS Spoof/Drift), and Class 3 (RF Link Partitioning). The classifier achieves a test macro-F1 of 97.4% (Fig. 7).</w:t>
      </w:r>
    </w:p>
    <w:p>
      <w:pPr>
        <w:keepNext/>
        <w:spacing w:before="160" w:after="60"/>
        <w:jc w:val="center"/>
      </w:pPr>
      <w:r>
        <w:drawing>
          <wp:inline xmlns:a="http://schemas.openxmlformats.org/drawingml/2006/main" xmlns:pic="http://schemas.openxmlformats.org/drawingml/2006/picture">
            <wp:extent cx="3063240" cy="1459063"/>
            <wp:docPr id="6" name="Picture 6"/>
            <wp:cNvGraphicFramePr>
              <a:graphicFrameLocks noChangeAspect="1"/>
            </wp:cNvGraphicFramePr>
            <a:graphic>
              <a:graphicData uri="http://schemas.openxmlformats.org/drawingml/2006/picture">
                <pic:pic>
                  <pic:nvPicPr>
                    <pic:cNvPr id="0" name="fig06_fdi_pipeline.png"/>
                    <pic:cNvPicPr/>
                  </pic:nvPicPr>
                  <pic:blipFill>
                    <a:blip r:embed="rId14"/>
                    <a:stretch>
                      <a:fillRect/>
                    </a:stretch>
                  </pic:blipFill>
                  <pic:spPr>
                    <a:xfrm>
                      <a:off x="0" y="0"/>
                      <a:ext cx="3063240" cy="1459063"/>
                    </a:xfrm>
                    <a:prstGeom prst="rect"/>
                  </pic:spPr>
                </pic:pic>
              </a:graphicData>
            </a:graphic>
          </wp:inline>
        </w:drawing>
      </w:r>
    </w:p>
    <w:p>
      <w:pPr>
        <w:spacing w:before="20" w:after="160" w:line="240" w:lineRule="auto"/>
        <w:jc w:val="both"/>
      </w:pPr>
      <w:r>
        <w:rPr>
          <w:rFonts w:ascii="Times New Roman" w:hAnsi="Times New Roman"/>
          <w:b/>
          <w:sz w:val="16"/>
        </w:rPr>
        <w:t xml:space="preserve">Fig. 6. </w:t>
      </w:r>
      <w:r>
        <w:rPr>
          <w:rFonts w:ascii="Times New Roman" w:hAnsi="Times New Roman"/>
          <w:sz w:val="16"/>
        </w:rPr>
        <w:t>Multi-stage FDI feature extraction pipeline: raw telemetry to 14 kinematic residuals and XGBoost classification.</w:t>
      </w:r>
    </w:p>
    <w:p>
      <w:pPr>
        <w:keepNext/>
        <w:spacing w:before="160" w:after="60"/>
        <w:jc w:val="center"/>
      </w:pPr>
      <w:r>
        <w:drawing>
          <wp:inline xmlns:a="http://schemas.openxmlformats.org/drawingml/2006/main" xmlns:pic="http://schemas.openxmlformats.org/drawingml/2006/picture">
            <wp:extent cx="3063240" cy="1471916"/>
            <wp:docPr id="7" name="Picture 7"/>
            <wp:cNvGraphicFramePr>
              <a:graphicFrameLocks noChangeAspect="1"/>
            </wp:cNvGraphicFramePr>
            <a:graphic>
              <a:graphicData uri="http://schemas.openxmlformats.org/drawingml/2006/picture">
                <pic:pic>
                  <pic:nvPicPr>
                    <pic:cNvPr id="0" name="fig12_xgboost_confusion.png"/>
                    <pic:cNvPicPr/>
                  </pic:nvPicPr>
                  <pic:blipFill>
                    <a:blip r:embed="rId15"/>
                    <a:stretch>
                      <a:fillRect/>
                    </a:stretch>
                  </pic:blipFill>
                  <pic:spPr>
                    <a:xfrm>
                      <a:off x="0" y="0"/>
                      <a:ext cx="3063240" cy="1471916"/>
                    </a:xfrm>
                    <a:prstGeom prst="rect"/>
                  </pic:spPr>
                </pic:pic>
              </a:graphicData>
            </a:graphic>
          </wp:inline>
        </w:drawing>
      </w:r>
    </w:p>
    <w:p>
      <w:pPr>
        <w:spacing w:before="20" w:after="160" w:line="240" w:lineRule="auto"/>
        <w:jc w:val="both"/>
      </w:pPr>
      <w:r>
        <w:rPr>
          <w:rFonts w:ascii="Times New Roman" w:hAnsi="Times New Roman"/>
          <w:b/>
          <w:sz w:val="16"/>
        </w:rPr>
        <w:t xml:space="preserve">Fig. 7. </w:t>
      </w:r>
      <w:r>
        <w:rPr>
          <w:rFonts w:ascii="Times New Roman" w:hAnsi="Times New Roman"/>
          <w:sz w:val="16"/>
        </w:rPr>
        <w:t>XGBoost 4x4 FDI confusion matrix and Precision-Recall curves across marine failure modes.</w:t>
      </w:r>
    </w:p>
    <w:p>
      <w:pPr>
        <w:keepNext/>
        <w:spacing w:before="200" w:after="60"/>
        <w:jc w:val="left"/>
      </w:pPr>
      <w:r>
        <w:rPr>
          <w:rFonts w:ascii="Times New Roman" w:hAnsi="Times New Roman"/>
          <w:i/>
          <w:color w:val="000000"/>
          <w:sz w:val="20"/>
        </w:rPr>
        <w:t>B. Kuhn-Munkres Role Reallocation with 4.0m Hysteresis</w:t>
      </w:r>
    </w:p>
    <w:p>
      <w:pPr>
        <w:spacing w:before="0" w:after="80" w:line="252" w:lineRule="auto"/>
        <w:ind w:firstLine="216"/>
        <w:jc w:val="both"/>
      </w:pPr>
      <w:r>
        <w:rPr>
          <w:rFonts w:ascii="Times New Roman" w:hAnsi="Times New Roman"/>
          <w:color w:val="000000"/>
          <w:sz w:val="20"/>
        </w:rPr>
        <w:t>When the FDI module detects degraded health (h_k,thruster &gt; 0.6 or h_k,gps &gt; 0.7), the agent cannot sustain tight high-speed tracking. Rather than maintaining an unachievable slot, the Tactical Planner executes Kuhn-Munkres (Hungarian) bipartite matching [19] to reassign fleet roles. The assignment cost matrix C ∈ R^{N×N} balances Euclidean slot distance, heading alignment, and health degradation penalty:</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6"/>
              </w:rPr>
              <w:t>C_ij = w_d · ||p_i - s_j|| + w_ψ · |ψ_i - ψ_j^slot| + w_h · (1 - h_i)</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(13)</w:t>
            </w:r>
          </w:p>
        </w:tc>
      </w:tr>
    </w:tbl>
    <w:p>
      <w:pPr>
        <w:spacing w:before="0" w:after="60"/>
      </w:pPr>
    </w:p>
    <w:p>
      <w:pPr>
        <w:spacing w:before="0" w:after="80" w:line="252" w:lineRule="auto"/>
        <w:ind w:firstLine="216"/>
        <w:jc w:val="both"/>
      </w:pPr>
      <w:r>
        <w:rPr>
          <w:rFonts w:ascii="Times New Roman" w:hAnsi="Times New Roman"/>
          <w:color w:val="000000"/>
          <w:sz w:val="20"/>
        </w:rPr>
        <w:t>To prevent catastrophic high-frequency role chattering caused by sensor noise near transition thresholds, FA-MAPPO introduces a strict hysteresis margin ΔH = 4.0 m. A role switch from current assignment π_curr to candidate assignment π_cand is authorized if and only if the global cost differential satisfies:</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7"/>
              </w:rPr>
              <w:t>Cost(π_cand) &lt; Cost(π_curr) - ΔH</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(14)</w:t>
            </w:r>
          </w:p>
        </w:tc>
      </w:tr>
    </w:tbl>
    <w:p>
      <w:pPr>
        <w:spacing w:before="0" w:after="60"/>
      </w:pPr>
    </w:p>
    <w:tbl>
      <w:tblPr>
        <w:tblW w:type="auto" w:w="0"/>
        <w:jc w:val="left"/>
        <w:tblLayout w:type="fixed"/>
        <w:tblLook w:firstColumn="1" w:firstRow="1" w:lastColumn="0" w:lastRow="0" w:noHBand="0" w:noVBand="1" w:val="04A0"/>
        <w:tblW w:w="4800" w:type="dxa"/>
        <w:tblLayout w:type="fixed"/>
        <w:tblBorders>
          <w:top w:val="double" w:sz="12" w:space="0" w:color="000000"/>
          <w:bottom w:val="double" w:sz="12" w:space="0" w:color="000000"/>
          <w:left w:val="single" w:sz="4" w:space="0" w:color="000000"/>
          <w:right w:val="single" w:sz="4" w:space="0" w:color="000000"/>
          <w:insideH w:val="none"/>
          <w:insideV w:val="none"/>
        </w:tblBorders>
      </w:tblPr>
      <w:tblGrid>
        <w:gridCol w:w="10109"/>
      </w:tblGrid>
      <w:tr>
        <w:trPr>
          <w:cantSplit/>
        </w:trPr>
        <w:tc>
          <w:tcPr>
            <w:tcW w:type="dxa" w:w="10109"/>
            <w:tcW w:w="4800" w:type="dxa"/>
            <w:shd w:fill="FAFAFA"/>
            <w:tcMar>
              <w:top w:w="60" w:type="dxa"/>
              <w:bottom w:w="60" w:type="dxa"/>
              <w:left w:w="80" w:type="dxa"/>
              <w:right w:w="80" w:type="dxa"/>
            </w:tcMar>
          </w:tcPr>
          <w:p>
            <w:pPr>
              <w:spacing w:before="40" w:after="40" w:line="252" w:lineRule="auto"/>
              <w:pBdr>
                <w:bottom w:val="single" w:sz="6" w:space="3" w:color="000000"/>
              </w:pBdr>
            </w:pPr>
            <w:r>
              <w:rPr>
                <w:rFonts w:ascii="Times New Roman" w:hAnsi="Times New Roman"/>
                <w:b/>
                <w:sz w:val="17"/>
              </w:rPr>
              <w:t>Algorithm 1: Kuhn-Munkres Role Reallocation with Dynamic Hysteresis</w:t>
              <w:br/>
            </w:r>
            <w:r>
              <w:rPr>
                <w:rFonts w:ascii="Times New Roman" w:hAnsi="Times New Roman"/>
                <w:i/>
                <w:sz w:val="15"/>
              </w:rPr>
              <w:t>Input: {p_i}, p_T, {h_i}, π_curr, ΔH = 4.0m</w:t>
              <w:br/>
            </w:r>
            <w:r>
              <w:rPr>
                <w:rFonts w:ascii="Times New Roman" w:hAnsi="Times New Roman"/>
                <w:i/>
                <w:sz w:val="15"/>
              </w:rPr>
              <w:t>Output: Active role &amp; slot assignment π*</w:t>
            </w:r>
          </w:p>
          <w:p>
            <w:pPr>
              <w:spacing w:before="20" w:after="20" w:line="240" w:lineRule="auto"/>
            </w:pPr>
            <w:r>
              <w:rPr>
                <w:rFonts w:ascii="Times New Roman" w:hAnsi="Times New Roman"/>
                <w:sz w:val="15"/>
              </w:rPr>
              <w:t>1: Ingest agent poses {p_i}, target pose p_T, and health vectors {h_i}</w:t>
            </w:r>
          </w:p>
          <w:p>
            <w:pPr>
              <w:spacing w:before="20" w:after="20" w:line="240" w:lineRule="auto"/>
            </w:pPr>
            <w:r>
              <w:rPr>
                <w:rFonts w:ascii="Times New Roman" w:hAnsi="Times New Roman"/>
                <w:sz w:val="15"/>
              </w:rPr>
              <w:t>2: Compute dynamic standoff slot coordinates {s_j} via Eq. (8)</w:t>
            </w:r>
          </w:p>
          <w:p>
            <w:pPr>
              <w:spacing w:before="20" w:after="20" w:line="240" w:lineRule="auto"/>
            </w:pPr>
            <w:r>
              <w:rPr>
                <w:rFonts w:ascii="Times New Roman" w:hAnsi="Times New Roman"/>
                <w:sz w:val="15"/>
              </w:rPr>
              <w:t>3: Construct N x N cost matrix C_ij via Eq. (13)</w:t>
            </w:r>
          </w:p>
          <w:p>
            <w:pPr>
              <w:spacing w:before="20" w:after="20" w:line="240" w:lineRule="auto"/>
            </w:pPr>
            <w:r>
              <w:rPr>
                <w:rFonts w:ascii="Times New Roman" w:hAnsi="Times New Roman"/>
                <w:sz w:val="15"/>
              </w:rPr>
              <w:t>4: Solve optimal bipartite matching π_cand = Hungarian(C)</w:t>
            </w:r>
          </w:p>
          <w:p>
            <w:pPr>
              <w:spacing w:before="20" w:after="20" w:line="240" w:lineRule="auto"/>
            </w:pPr>
            <w:r>
              <w:rPr>
                <w:rFonts w:ascii="Times New Roman" w:hAnsi="Times New Roman"/>
                <w:sz w:val="15"/>
              </w:rPr>
              <w:t>5: Compute cost differential ΔC = Cost(π_curr) - Cost(π_cand)</w:t>
            </w:r>
          </w:p>
          <w:p>
            <w:pPr>
              <w:spacing w:before="20" w:after="20" w:line="240" w:lineRule="auto"/>
            </w:pPr>
            <w:r>
              <w:rPr>
                <w:rFonts w:ascii="Times New Roman" w:hAnsi="Times New Roman"/>
                <w:sz w:val="15"/>
              </w:rPr>
              <w:t>6: if ΔC &gt; ΔH (where ΔH = 4.0m) then</w:t>
            </w:r>
          </w:p>
          <w:p>
            <w:pPr>
              <w:spacing w:before="20" w:after="20" w:line="240" w:lineRule="auto"/>
            </w:pPr>
            <w:r>
              <w:rPr>
                <w:rFonts w:ascii="Times New Roman" w:hAnsi="Times New Roman"/>
                <w:sz w:val="15"/>
              </w:rPr>
              <w:t>7:     Update active role assignment π_curr &lt;- π_cand</w:t>
            </w:r>
          </w:p>
          <w:p>
            <w:pPr>
              <w:spacing w:before="20" w:after="20" w:line="240" w:lineRule="auto"/>
            </w:pPr>
            <w:r>
              <w:rPr>
                <w:rFonts w:ascii="Times New Roman" w:hAnsi="Times New Roman"/>
                <w:sz w:val="15"/>
              </w:rPr>
              <w:t>8:     Broadcast updated slot targets /swarm/roles at 5 Hz</w:t>
            </w:r>
          </w:p>
          <w:p>
            <w:pPr>
              <w:spacing w:before="20" w:after="20" w:line="240" w:lineRule="auto"/>
            </w:pPr>
            <w:r>
              <w:rPr>
                <w:rFonts w:ascii="Times New Roman" w:hAnsi="Times New Roman"/>
                <w:sz w:val="15"/>
              </w:rPr>
              <w:t>9: else</w:t>
            </w:r>
          </w:p>
          <w:p>
            <w:pPr>
              <w:spacing w:before="20" w:after="20" w:line="240" w:lineRule="auto"/>
            </w:pPr>
            <w:r>
              <w:rPr>
                <w:rFonts w:ascii="Times New Roman" w:hAnsi="Times New Roman"/>
                <w:sz w:val="15"/>
              </w:rPr>
              <w:t>10:    Maintain existing role assignment π_curr (Deadband Hold)</w:t>
            </w:r>
          </w:p>
          <w:p>
            <w:pPr>
              <w:spacing w:before="20" w:after="20" w:line="240" w:lineRule="auto"/>
            </w:pPr>
            <w:r>
              <w:rPr>
                <w:rFonts w:ascii="Times New Roman" w:hAnsi="Times New Roman"/>
                <w:sz w:val="15"/>
              </w:rPr>
              <w:t>11: end if</w:t>
            </w:r>
          </w:p>
        </w:tc>
      </w:tr>
    </w:tbl>
    <w:p>
      <w:pPr>
        <w:spacing w:before="0" w:after="80"/>
      </w:pPr>
    </w:p>
    <w:p>
      <w:pPr>
        <w:keepNext/>
        <w:spacing w:before="160" w:after="60"/>
        <w:jc w:val="center"/>
      </w:pPr>
      <w:r>
        <w:drawing>
          <wp:inline xmlns:a="http://schemas.openxmlformats.org/drawingml/2006/main" xmlns:pic="http://schemas.openxmlformats.org/drawingml/2006/picture">
            <wp:extent cx="3063240" cy="1556807"/>
            <wp:docPr id="8" name="Picture 8"/>
            <wp:cNvGraphicFramePr>
              <a:graphicFrameLocks noChangeAspect="1"/>
            </wp:cNvGraphicFramePr>
            <a:graphic>
              <a:graphicData uri="http://schemas.openxmlformats.org/drawingml/2006/picture">
                <pic:pic>
                  <pic:nvPicPr>
                    <pic:cNvPr id="0" name="fig07_hungarian_hysteresis.png"/>
                    <pic:cNvPicPr/>
                  </pic:nvPicPr>
                  <pic:blipFill>
                    <a:blip r:embed="rId16"/>
                    <a:stretch>
                      <a:fillRect/>
                    </a:stretch>
                  </pic:blipFill>
                  <pic:spPr>
                    <a:xfrm>
                      <a:off x="0" y="0"/>
                      <a:ext cx="3063240" cy="1556807"/>
                    </a:xfrm>
                    <a:prstGeom prst="rect"/>
                  </pic:spPr>
                </pic:pic>
              </a:graphicData>
            </a:graphic>
          </wp:inline>
        </w:drawing>
      </w:r>
    </w:p>
    <w:p>
      <w:pPr>
        <w:spacing w:before="20" w:after="160" w:line="240" w:lineRule="auto"/>
        <w:jc w:val="both"/>
      </w:pPr>
      <w:r>
        <w:rPr>
          <w:rFonts w:ascii="Times New Roman" w:hAnsi="Times New Roman"/>
          <w:b/>
          <w:sz w:val="16"/>
        </w:rPr>
        <w:t xml:space="preserve">Fig. 8. </w:t>
      </w:r>
      <w:r>
        <w:rPr>
          <w:rFonts w:ascii="Times New Roman" w:hAnsi="Times New Roman"/>
          <w:sz w:val="16"/>
        </w:rPr>
        <w:t>Kuhn-Munkres bipartite matching and 4.0m dynamic hysteresis margin barrier preventing role chattering.</w:t>
      </w:r>
    </w:p>
    <w:p>
      <w:pPr>
        <w:keepNext/>
        <w:spacing w:before="200" w:after="60"/>
        <w:jc w:val="left"/>
      </w:pPr>
      <w:r>
        <w:rPr>
          <w:rFonts w:ascii="Times New Roman" w:hAnsi="Times New Roman"/>
          <w:i/>
          <w:color w:val="000000"/>
          <w:sz w:val="20"/>
        </w:rPr>
        <w:t>C. 20 Hz Control Barrier Function (CBF) Safety Shield</w:t>
      </w:r>
    </w:p>
    <w:p>
      <w:pPr>
        <w:spacing w:before="0" w:after="80" w:line="252" w:lineRule="auto"/>
        <w:ind w:firstLine="216"/>
        <w:jc w:val="both"/>
      </w:pPr>
      <w:r>
        <w:rPr>
          <w:rFonts w:ascii="Times New Roman" w:hAnsi="Times New Roman"/>
          <w:color w:val="000000"/>
          <w:sz w:val="20"/>
        </w:rPr>
        <w:t>Even under optimal tactical planning, dynamic actuator lag or sudden tracking divergence can propel two USVs toward collision. FA-MAPPO incorporates a Control Barrier Function (CBF) filter running at 20 Hz as an active safety shield between the policy neural network and thruster actuators (Fig. 8). For each pair of vessels (i, j), we define the pairwise safety barrier function h_ij(x):</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7"/>
              </w:rPr>
              <w:t>h_ij(x) = ||p_i - p_j||² - d_safe²,    d_safe = 3.5 m</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(15)</w:t>
            </w:r>
          </w:p>
        </w:tc>
      </w:tr>
    </w:tbl>
    <w:p>
      <w:pPr>
        <w:spacing w:before="0" w:after="60"/>
      </w:pPr>
    </w:p>
    <w:p>
      <w:pPr>
        <w:spacing w:before="0" w:after="80" w:line="252" w:lineRule="auto"/>
        <w:ind w:firstLine="216"/>
        <w:jc w:val="both"/>
      </w:pPr>
      <w:r>
        <w:rPr>
          <w:rFonts w:ascii="Times New Roman" w:hAnsi="Times New Roman"/>
          <w:color w:val="000000"/>
          <w:sz w:val="20"/>
        </w:rPr>
        <w:t>To enforce forward invariance of the safe set C = {x | h_ij(x) ≥ 0}, the time derivative of the barrier function must satisfy the Nagumo set invariance condition [16]:</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7"/>
              </w:rPr>
              <w:t>dh_ij/dt + γ · h_ij(x) ≥ 0,    γ = 1.2 s⁻¹</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(16)</w:t>
            </w:r>
          </w:p>
        </w:tc>
      </w:tr>
    </w:tbl>
    <w:p>
      <w:pPr>
        <w:spacing w:before="0" w:after="60"/>
      </w:pPr>
    </w:p>
    <w:p>
      <w:pPr>
        <w:spacing w:before="0" w:after="80" w:line="252" w:lineRule="auto"/>
        <w:ind w:firstLine="216"/>
        <w:jc w:val="both"/>
      </w:pPr>
      <w:r>
        <w:rPr>
          <w:rFonts w:ascii="Times New Roman" w:hAnsi="Times New Roman"/>
          <w:color w:val="000000"/>
          <w:sz w:val="20"/>
        </w:rPr>
        <w:t>Expanding via Lie derivatives L_f h and L_g h, the safe control input u* is obtained by solving a Quadratic Program (QP) at 20 Hz:</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6"/>
              </w:rPr>
              <w:t>min ||u - u_des||²    s.t.    L_f h_ij + L_g h_ij · u + γ · h_ij ≥ 0</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(17)</w:t>
            </w:r>
          </w:p>
        </w:tc>
      </w:tr>
    </w:tbl>
    <w:p>
      <w:pPr>
        <w:spacing w:before="0" w:after="60"/>
      </w:pPr>
    </w:p>
    <w:tbl>
      <w:tblPr>
        <w:tblW w:type="auto" w:w="0"/>
        <w:jc w:val="left"/>
        <w:tblLayout w:type="fixed"/>
        <w:tblLook w:firstColumn="1" w:firstRow="1" w:lastColumn="0" w:lastRow="0" w:noHBand="0" w:noVBand="1" w:val="04A0"/>
        <w:tblW w:w="4800" w:type="dxa"/>
        <w:tblLayout w:type="fixed"/>
        <w:tblBorders>
          <w:top w:val="double" w:sz="12" w:space="0" w:color="000000"/>
          <w:bottom w:val="double" w:sz="12" w:space="0" w:color="000000"/>
          <w:left w:val="single" w:sz="4" w:space="0" w:color="000000"/>
          <w:right w:val="single" w:sz="4" w:space="0" w:color="000000"/>
          <w:insideH w:val="none"/>
          <w:insideV w:val="none"/>
        </w:tblBorders>
      </w:tblPr>
      <w:tblGrid>
        <w:gridCol w:w="10109"/>
      </w:tblGrid>
      <w:tr>
        <w:trPr>
          <w:cantSplit/>
        </w:trPr>
        <w:tc>
          <w:tcPr>
            <w:tcW w:type="dxa" w:w="10109"/>
            <w:tcW w:w="4800" w:type="dxa"/>
            <w:shd w:fill="FAFAFA"/>
            <w:tcMar>
              <w:top w:w="60" w:type="dxa"/>
              <w:bottom w:w="60" w:type="dxa"/>
              <w:left w:w="80" w:type="dxa"/>
              <w:right w:w="80" w:type="dxa"/>
            </w:tcMar>
          </w:tcPr>
          <w:p>
            <w:pPr>
              <w:spacing w:before="40" w:after="40" w:line="252" w:lineRule="auto"/>
              <w:pBdr>
                <w:bottom w:val="single" w:sz="6" w:space="3" w:color="000000"/>
              </w:pBdr>
            </w:pPr>
            <w:r>
              <w:rPr>
                <w:rFonts w:ascii="Times New Roman" w:hAnsi="Times New Roman"/>
                <w:b/>
                <w:sz w:val="17"/>
              </w:rPr>
              <w:t>Algorithm 2: 20 Hz CBF-QP Kinematic Safety Filter</w:t>
              <w:br/>
            </w:r>
            <w:r>
              <w:rPr>
                <w:rFonts w:ascii="Times New Roman" w:hAnsi="Times New Roman"/>
                <w:i/>
                <w:sz w:val="15"/>
              </w:rPr>
              <w:t>Input: Nominal command u_des, agent states {x_i}, d_safe = 3.5m</w:t>
              <w:br/>
            </w:r>
            <w:r>
              <w:rPr>
                <w:rFonts w:ascii="Times New Roman" w:hAnsi="Times New Roman"/>
                <w:i/>
                <w:sz w:val="15"/>
              </w:rPr>
              <w:t>Output: Safety-shielded actuator command u*</w:t>
            </w:r>
          </w:p>
          <w:p>
            <w:pPr>
              <w:spacing w:before="20" w:after="20" w:line="240" w:lineRule="auto"/>
            </w:pPr>
            <w:r>
              <w:rPr>
                <w:rFonts w:ascii="Times New Roman" w:hAnsi="Times New Roman"/>
                <w:sz w:val="15"/>
              </w:rPr>
              <w:t>1: Ingest nominal policy command u_des from FA-MAPPO policy network</w:t>
            </w:r>
          </w:p>
          <w:p>
            <w:pPr>
              <w:spacing w:before="20" w:after="20" w:line="240" w:lineRule="auto"/>
            </w:pPr>
            <w:r>
              <w:rPr>
                <w:rFonts w:ascii="Times New Roman" w:hAnsi="Times New Roman"/>
                <w:sz w:val="15"/>
              </w:rPr>
              <w:t>2: Measure pairwise agent separation d_ij = ||p_i - p_j|| for all j ≠ i</w:t>
            </w:r>
          </w:p>
          <w:p>
            <w:pPr>
              <w:spacing w:before="20" w:after="20" w:line="240" w:lineRule="auto"/>
            </w:pPr>
            <w:r>
              <w:rPr>
                <w:rFonts w:ascii="Times New Roman" w:hAnsi="Times New Roman"/>
                <w:sz w:val="15"/>
              </w:rPr>
              <w:t>3: Evaluate barrier function h_ij = d_ij² - d_safe² (d_safe = 3.5m)</w:t>
            </w:r>
          </w:p>
          <w:p>
            <w:pPr>
              <w:spacing w:before="20" w:after="20" w:line="240" w:lineRule="auto"/>
            </w:pPr>
            <w:r>
              <w:rPr>
                <w:rFonts w:ascii="Times New Roman" w:hAnsi="Times New Roman"/>
                <w:sz w:val="15"/>
              </w:rPr>
              <w:t>4: if min(h_ij) &gt; d_warning² - d_safe² (clearance &gt; 8.0m) then</w:t>
            </w:r>
          </w:p>
          <w:p>
            <w:pPr>
              <w:spacing w:before="20" w:after="20" w:line="240" w:lineRule="auto"/>
            </w:pPr>
            <w:r>
              <w:rPr>
                <w:rFonts w:ascii="Times New Roman" w:hAnsi="Times New Roman"/>
                <w:sz w:val="15"/>
              </w:rPr>
              <w:t>5:     Pass nominal command transparently: u* &lt;- u_des</w:t>
            </w:r>
          </w:p>
          <w:p>
            <w:pPr>
              <w:spacing w:before="20" w:after="20" w:line="240" w:lineRule="auto"/>
            </w:pPr>
            <w:r>
              <w:rPr>
                <w:rFonts w:ascii="Times New Roman" w:hAnsi="Times New Roman"/>
                <w:sz w:val="15"/>
              </w:rPr>
              <w:t>6: else</w:t>
            </w:r>
          </w:p>
          <w:p>
            <w:pPr>
              <w:spacing w:before="20" w:after="20" w:line="240" w:lineRule="auto"/>
            </w:pPr>
            <w:r>
              <w:rPr>
                <w:rFonts w:ascii="Times New Roman" w:hAnsi="Times New Roman"/>
                <w:sz w:val="15"/>
              </w:rPr>
              <w:t>7:     Formulate QP objective: min (1/2)||u - u_des||²</w:t>
            </w:r>
          </w:p>
          <w:p>
            <w:pPr>
              <w:spacing w:before="20" w:after="20" w:line="240" w:lineRule="auto"/>
            </w:pPr>
            <w:r>
              <w:rPr>
                <w:rFonts w:ascii="Times New Roman" w:hAnsi="Times New Roman"/>
                <w:sz w:val="15"/>
              </w:rPr>
              <w:t>8:     Add linear constraints: 2(p_i - p_j)^T(v_i - v_j) + γ h_ij ≥ 0</w:t>
            </w:r>
          </w:p>
          <w:p>
            <w:pPr>
              <w:spacing w:before="20" w:after="20" w:line="240" w:lineRule="auto"/>
            </w:pPr>
            <w:r>
              <w:rPr>
                <w:rFonts w:ascii="Times New Roman" w:hAnsi="Times New Roman"/>
                <w:sz w:val="15"/>
              </w:rPr>
              <w:t>9:     Solve QP via Active-Set solver (latency &lt; 1.0 ms)</w:t>
            </w:r>
          </w:p>
          <w:p>
            <w:pPr>
              <w:spacing w:before="20" w:after="20" w:line="240" w:lineRule="auto"/>
            </w:pPr>
            <w:r>
              <w:rPr>
                <w:rFonts w:ascii="Times New Roman" w:hAnsi="Times New Roman"/>
                <w:sz w:val="15"/>
              </w:rPr>
              <w:t>10:    Output minimally perturbed safe command u*</w:t>
            </w:r>
          </w:p>
          <w:p>
            <w:pPr>
              <w:spacing w:before="20" w:after="20" w:line="240" w:lineRule="auto"/>
            </w:pPr>
            <w:r>
              <w:rPr>
                <w:rFonts w:ascii="Times New Roman" w:hAnsi="Times New Roman"/>
                <w:sz w:val="15"/>
              </w:rPr>
              <w:t>11: end if</w:t>
            </w:r>
          </w:p>
        </w:tc>
      </w:tr>
    </w:tbl>
    <w:p>
      <w:pPr>
        <w:spacing w:before="0" w:after="80"/>
      </w:pPr>
    </w:p>
    <w:p>
      <w:pPr>
        <w:keepNext/>
        <w:spacing w:before="160" w:after="60"/>
        <w:jc w:val="center"/>
      </w:pPr>
      <w:r>
        <w:drawing>
          <wp:inline xmlns:a="http://schemas.openxmlformats.org/drawingml/2006/main" xmlns:pic="http://schemas.openxmlformats.org/drawingml/2006/picture">
            <wp:extent cx="3063240" cy="2920864"/>
            <wp:docPr id="9" name="Picture 9"/>
            <wp:cNvGraphicFramePr>
              <a:graphicFrameLocks noChangeAspect="1"/>
            </wp:cNvGraphicFramePr>
            <a:graphic>
              <a:graphicData uri="http://schemas.openxmlformats.org/drawingml/2006/picture">
                <pic:pic>
                  <pic:nvPicPr>
                    <pic:cNvPr id="0" name="fig08_cbf_geometry.png"/>
                    <pic:cNvPicPr/>
                  </pic:nvPicPr>
                  <pic:blipFill>
                    <a:blip r:embed="rId17"/>
                    <a:stretch>
                      <a:fillRect/>
                    </a:stretch>
                  </pic:blipFill>
                  <pic:spPr>
                    <a:xfrm>
                      <a:off x="0" y="0"/>
                      <a:ext cx="3063240" cy="2920864"/>
                    </a:xfrm>
                    <a:prstGeom prst="rect"/>
                  </pic:spPr>
                </pic:pic>
              </a:graphicData>
            </a:graphic>
          </wp:inline>
        </w:drawing>
      </w:r>
    </w:p>
    <w:p>
      <w:pPr>
        <w:spacing w:before="20" w:after="160" w:line="240" w:lineRule="auto"/>
        <w:jc w:val="both"/>
      </w:pPr>
      <w:r>
        <w:rPr>
          <w:rFonts w:ascii="Times New Roman" w:hAnsi="Times New Roman"/>
          <w:b/>
          <w:sz w:val="16"/>
        </w:rPr>
        <w:t xml:space="preserve">Fig. 9. </w:t>
      </w:r>
      <w:r>
        <w:rPr>
          <w:rFonts w:ascii="Times New Roman" w:hAnsi="Times New Roman"/>
          <w:sz w:val="16"/>
        </w:rPr>
        <w:t>Control Barrier Function (CBF) forward invariance set and Quadratic Programming minimum-perturbation projection u*.</w:t>
      </w:r>
    </w:p>
    <w:p>
      <w:pPr>
        <w:keepNext/>
        <w:spacing w:before="280" w:after="80"/>
        <w:jc w:val="center"/>
      </w:pPr>
      <w:r>
        <w:rPr>
          <w:rFonts w:ascii="Times New Roman" w:hAnsi="Times New Roman"/>
          <w:b/>
          <w:color w:val="000000"/>
          <w:sz w:val="20"/>
        </w:rPr>
        <w:t>V. DISTRIBUTED ROS 2 EMBEDDED SYSTEM ARCHITECTURE</w:t>
      </w:r>
    </w:p>
    <w:p>
      <w:pPr>
        <w:spacing w:before="0" w:after="80" w:line="252" w:lineRule="auto"/>
        <w:ind w:firstLine="216"/>
        <w:jc w:val="both"/>
      </w:pPr>
      <w:r>
        <w:rPr>
          <w:rFonts w:ascii="Times New Roman" w:hAnsi="Times New Roman"/>
          <w:color w:val="000000"/>
          <w:sz w:val="20"/>
        </w:rPr>
        <w:t>The FA-MAPPO architecture is realized as a fully asynchronous, distributed 9-package ROS 2 Humble robotics stack (Fig. 10). The stack is benchmarked on an AMD Ryzen 7 5800H development workstation, with an embedded NVIDIA Jetson Orin Nano compute architecture (8GB LPDDR5, 15W TDP) evaluated and recommended as the target edge payload for future field deployments.</w:t>
      </w:r>
    </w:p>
    <w:p>
      <w:pPr>
        <w:spacing w:before="0" w:after="80" w:line="252" w:lineRule="auto"/>
        <w:ind w:firstLine="216"/>
        <w:jc w:val="both"/>
      </w:pPr>
      <w:r>
        <w:rPr>
          <w:rFonts w:ascii="Times New Roman" w:hAnsi="Times New Roman"/>
          <w:color w:val="000000"/>
          <w:sz w:val="20"/>
        </w:rPr>
        <w:t>The distributed stack is partitioned into orthogonal execution tiers:</w:t>
      </w:r>
    </w:p>
    <w:p>
      <w:pPr>
        <w:spacing w:before="0" w:after="80" w:line="252" w:lineRule="auto"/>
        <w:ind w:firstLine="216"/>
        <w:jc w:val="both"/>
      </w:pPr>
      <w:r>
        <w:rPr>
          <w:rFonts w:ascii="Times New Roman" w:hAnsi="Times New Roman"/>
          <w:color w:val="000000"/>
          <w:sz w:val="20"/>
        </w:rPr>
        <w:t>1) Tier 1 (/usv_sim_node at 50 Hz): Solves non-linear Fossen 3-DOF hydrodynamics via RK4 numerical integration, broadcasting ground-truth vessel poses on /sim/usv_states.</w:t>
      </w:r>
    </w:p>
    <w:p>
      <w:pPr>
        <w:spacing w:before="0" w:after="80" w:line="252" w:lineRule="auto"/>
        <w:ind w:firstLine="216"/>
        <w:jc w:val="both"/>
      </w:pPr>
      <w:r>
        <w:rPr>
          <w:rFonts w:ascii="Times New Roman" w:hAnsi="Times New Roman"/>
          <w:color w:val="000000"/>
          <w:sz w:val="20"/>
        </w:rPr>
        <w:t>2) Tier 2 (/usv_perception_mesh at 20 Hz): Filters telemetry through a realistic maritime wireless channel model, introducing 80m range cutoff, multi-path fading, and wave-induced packet loss.</w:t>
      </w:r>
    </w:p>
    <w:p>
      <w:pPr>
        <w:spacing w:before="0" w:after="80" w:line="252" w:lineRule="auto"/>
        <w:ind w:firstLine="216"/>
        <w:jc w:val="both"/>
      </w:pPr>
      <w:r>
        <w:rPr>
          <w:rFonts w:ascii="Times New Roman" w:hAnsi="Times New Roman"/>
          <w:color w:val="000000"/>
          <w:sz w:val="20"/>
        </w:rPr>
        <w:t>3) Tier 3 (/usv_diagnosis_node at 5 Hz): Executes the 14-residual FDI pipeline and XGBoost classification, publishing multi-class health state vectors on /diagnosis/health.</w:t>
      </w:r>
    </w:p>
    <w:p>
      <w:pPr>
        <w:spacing w:before="0" w:after="80" w:line="252" w:lineRule="auto"/>
        <w:ind w:firstLine="216"/>
        <w:jc w:val="both"/>
      </w:pPr>
      <w:r>
        <w:rPr>
          <w:rFonts w:ascii="Times New Roman" w:hAnsi="Times New Roman"/>
          <w:color w:val="000000"/>
          <w:sz w:val="20"/>
        </w:rPr>
        <w:t>4) Tier 4 (/usv_planner_node at 5 Hz): Implements Kuhn-Munkres allocation with 4.0m hysteresis, broadcasting role transitions on /swarm/roles.</w:t>
      </w:r>
    </w:p>
    <w:p>
      <w:pPr>
        <w:spacing w:before="0" w:after="80" w:line="252" w:lineRule="auto"/>
        <w:ind w:firstLine="216"/>
        <w:jc w:val="both"/>
      </w:pPr>
      <w:r>
        <w:rPr>
          <w:rFonts w:ascii="Times New Roman" w:hAnsi="Times New Roman"/>
          <w:color w:val="000000"/>
          <w:sz w:val="20"/>
        </w:rPr>
        <w:t>5) Tier 5 (/policy_executor_node at 20 Hz): Ingests target observations and role assignments, evaluating the frozen FA-MAPPO neural network policy.</w:t>
      </w:r>
    </w:p>
    <w:p>
      <w:pPr>
        <w:spacing w:before="0" w:after="80" w:line="252" w:lineRule="auto"/>
        <w:ind w:firstLine="216"/>
        <w:jc w:val="both"/>
      </w:pPr>
      <w:r>
        <w:rPr>
          <w:rFonts w:ascii="Times New Roman" w:hAnsi="Times New Roman"/>
          <w:color w:val="000000"/>
          <w:sz w:val="20"/>
        </w:rPr>
        <w:t>6) Tier 6 (/usv_safety_node at 20 Hz): Intercepts raw policy commands /control/cmd_raw and executes the CBF-QP filter, outputting collision-free commands on /safety/cbf_commands.</w:t>
      </w:r>
    </w:p>
    <w:p>
      <w:pPr>
        <w:keepNext/>
        <w:spacing w:before="160" w:after="60"/>
        <w:jc w:val="center"/>
      </w:pPr>
      <w:r>
        <w:drawing>
          <wp:inline xmlns:a="http://schemas.openxmlformats.org/drawingml/2006/main" xmlns:pic="http://schemas.openxmlformats.org/drawingml/2006/picture">
            <wp:extent cx="3063240" cy="1600476"/>
            <wp:docPr id="10" name="Picture 10"/>
            <wp:cNvGraphicFramePr>
              <a:graphicFrameLocks noChangeAspect="1"/>
            </wp:cNvGraphicFramePr>
            <a:graphic>
              <a:graphicData uri="http://schemas.openxmlformats.org/drawingml/2006/picture">
                <pic:pic>
                  <pic:nvPicPr>
                    <pic:cNvPr id="0" name="fig11_ros2_node_graph.png"/>
                    <pic:cNvPicPr/>
                  </pic:nvPicPr>
                  <pic:blipFill>
                    <a:blip r:embed="rId18"/>
                    <a:stretch>
                      <a:fillRect/>
                    </a:stretch>
                  </pic:blipFill>
                  <pic:spPr>
                    <a:xfrm>
                      <a:off x="0" y="0"/>
                      <a:ext cx="3063240" cy="1600476"/>
                    </a:xfrm>
                    <a:prstGeom prst="rect"/>
                  </pic:spPr>
                </pic:pic>
              </a:graphicData>
            </a:graphic>
          </wp:inline>
        </w:drawing>
      </w:r>
    </w:p>
    <w:p>
      <w:pPr>
        <w:spacing w:before="20" w:after="160" w:line="240" w:lineRule="auto"/>
        <w:jc w:val="both"/>
      </w:pPr>
      <w:r>
        <w:rPr>
          <w:rFonts w:ascii="Times New Roman" w:hAnsi="Times New Roman"/>
          <w:b/>
          <w:sz w:val="16"/>
        </w:rPr>
        <w:t xml:space="preserve">Fig. 10. </w:t>
      </w:r>
      <w:r>
        <w:rPr>
          <w:rFonts w:ascii="Times New Roman" w:hAnsi="Times New Roman"/>
          <w:sz w:val="16"/>
        </w:rPr>
        <w:t>ROS 2 Distributed 9-Package Node Graph and orthogonal DDS topic bus routing topology.</w:t>
      </w:r>
    </w:p>
    <w:p>
      <w:pPr>
        <w:keepNext/>
        <w:spacing w:before="280" w:after="80"/>
        <w:jc w:val="center"/>
      </w:pPr>
      <w:r>
        <w:rPr>
          <w:rFonts w:ascii="Times New Roman" w:hAnsi="Times New Roman"/>
          <w:b/>
          <w:color w:val="000000"/>
          <w:sz w:val="20"/>
        </w:rPr>
        <w:t>VI. EXPERIMENTAL RESULTS &amp; BENCHMARK EVALUATION</w:t>
      </w:r>
    </w:p>
    <w:p>
      <w:pPr>
        <w:keepNext/>
        <w:spacing w:before="200" w:after="60"/>
        <w:jc w:val="left"/>
      </w:pPr>
      <w:r>
        <w:rPr>
          <w:rFonts w:ascii="Times New Roman" w:hAnsi="Times New Roman"/>
          <w:i/>
          <w:color w:val="000000"/>
          <w:sz w:val="20"/>
        </w:rPr>
        <w:t>A. Experimental Methodology and Benchmark Scenarios</w:t>
      </w:r>
    </w:p>
    <w:p>
      <w:pPr>
        <w:spacing w:before="0" w:after="80" w:line="252" w:lineRule="auto"/>
        <w:ind w:firstLine="216"/>
        <w:jc w:val="both"/>
      </w:pPr>
      <w:r>
        <w:rPr>
          <w:rFonts w:ascii="Times New Roman" w:hAnsi="Times New Roman"/>
          <w:color w:val="000000"/>
          <w:sz w:val="20"/>
        </w:rPr>
        <w:t>To rigorously quantify swarm resilience, we established a standardized 3x3 benchmark sweep encompassing three operational scenarios evaluated across 120 Monte Carlo simulation runs (60s duration per run, dt = 0.05s, 6 USVs):</w:t>
      </w:r>
    </w:p>
    <w:p>
      <w:pPr>
        <w:spacing w:before="0" w:after="80" w:line="252" w:lineRule="auto"/>
        <w:ind w:firstLine="216"/>
        <w:jc w:val="both"/>
      </w:pPr>
      <w:r>
        <w:rPr>
          <w:rFonts w:ascii="Times New Roman" w:hAnsi="Times New Roman"/>
          <w:color w:val="000000"/>
          <w:sz w:val="20"/>
        </w:rPr>
        <w:t>1) Nominal Baseline: All vessels operate with 100% actuator efficiency, zero sensor drift, and nominal wireless links.</w:t>
      </w:r>
    </w:p>
    <w:p>
      <w:pPr>
        <w:spacing w:before="0" w:after="80" w:line="252" w:lineRule="auto"/>
        <w:ind w:firstLine="216"/>
        <w:jc w:val="both"/>
      </w:pPr>
      <w:r>
        <w:rPr>
          <w:rFonts w:ascii="Times New Roman" w:hAnsi="Times New Roman"/>
          <w:color w:val="000000"/>
          <w:sz w:val="20"/>
        </w:rPr>
        <w:t>2) Single-Fault Scenario: Vessel USV-1 experiences 60% thruster loss at t = 12s, inducing asymmetrical surge drag.</w:t>
      </w:r>
    </w:p>
    <w:p>
      <w:pPr>
        <w:spacing w:before="0" w:after="80" w:line="252" w:lineRule="auto"/>
        <w:ind w:firstLine="216"/>
        <w:jc w:val="both"/>
      </w:pPr>
      <w:r>
        <w:rPr>
          <w:rFonts w:ascii="Times New Roman" w:hAnsi="Times New Roman"/>
          <w:color w:val="000000"/>
          <w:sz w:val="20"/>
        </w:rPr>
        <w:t>3) Staggered Multi-Fault Scenario: Cascading multi-tier failure injection: USV-1 experiences 60% thruster loss at t = 12s; USV-2 suffers 4.5m GPS spoofing drift at t = 24s; USV-5 suffers 80% packet drop due to wave obstruction at t = 36s.</w:t>
      </w:r>
    </w:p>
    <w:p>
      <w:pPr>
        <w:spacing w:before="0" w:after="80" w:line="252" w:lineRule="auto"/>
        <w:ind w:firstLine="216"/>
        <w:jc w:val="both"/>
      </w:pPr>
      <w:r>
        <w:rPr>
          <w:rFonts w:ascii="Times New Roman" w:hAnsi="Times New Roman"/>
          <w:color w:val="000000"/>
          <w:sz w:val="20"/>
        </w:rPr>
        <w:t>We benchmark FA-MAPPO against three leading multi-agent baselines: Artificial Potential Fields (APF) [8], Independent PPO (IPPO) [5], and Centralized MAPPO [5]. Performance is evaluated across five quantitative metrics: Convergence Time T_conv (s), Encirclement Retention Rate R_encirc (%), Near-Collision Safety Violations (&lt; 3.5 m), Mean Time to Reconfigure MTTR (s), and Sim-to-Real Gap (%).</w:t>
      </w:r>
    </w:p>
    <w:p>
      <w:pPr>
        <w:keepNext/>
        <w:spacing w:before="160" w:after="60"/>
        <w:jc w:val="center"/>
      </w:pPr>
      <w:r>
        <w:drawing>
          <wp:inline xmlns:a="http://schemas.openxmlformats.org/drawingml/2006/main" xmlns:pic="http://schemas.openxmlformats.org/drawingml/2006/picture">
            <wp:extent cx="3063240" cy="1373215"/>
            <wp:docPr id="11" name="Picture 11"/>
            <wp:cNvGraphicFramePr>
              <a:graphicFrameLocks noChangeAspect="1"/>
            </wp:cNvGraphicFramePr>
            <a:graphic>
              <a:graphicData uri="http://schemas.openxmlformats.org/drawingml/2006/picture">
                <pic:pic>
                  <pic:nvPicPr>
                    <pic:cNvPr id="0" name="fig13_benchmark_grid.png"/>
                    <pic:cNvPicPr/>
                  </pic:nvPicPr>
                  <pic:blipFill>
                    <a:blip r:embed="rId19"/>
                    <a:stretch>
                      <a:fillRect/>
                    </a:stretch>
                  </pic:blipFill>
                  <pic:spPr>
                    <a:xfrm>
                      <a:off x="0" y="0"/>
                      <a:ext cx="3063240" cy="1373215"/>
                    </a:xfrm>
                    <a:prstGeom prst="rect"/>
                  </pic:spPr>
                </pic:pic>
              </a:graphicData>
            </a:graphic>
          </wp:inline>
        </w:drawing>
      </w:r>
    </w:p>
    <w:p>
      <w:pPr>
        <w:spacing w:before="20" w:after="160" w:line="240" w:lineRule="auto"/>
        <w:jc w:val="both"/>
      </w:pPr>
      <w:r>
        <w:rPr>
          <w:rFonts w:ascii="Times New Roman" w:hAnsi="Times New Roman"/>
          <w:b/>
          <w:sz w:val="16"/>
        </w:rPr>
        <w:t xml:space="preserve">Fig. 11. </w:t>
      </w:r>
      <w:r>
        <w:rPr>
          <w:rFonts w:ascii="Times New Roman" w:hAnsi="Times New Roman"/>
          <w:sz w:val="16"/>
        </w:rPr>
        <w:t>3x3 Benchmark Grid: Multi-scenario quantitative comparison of convergence time, encirclement retention, and collision incidents.</w:t>
      </w:r>
    </w:p>
    <w:p>
      <w:pPr>
        <w:keepNext/>
        <w:spacing w:before="160" w:after="20"/>
        <w:jc w:val="center"/>
      </w:pPr>
      <w:r>
        <w:rPr>
          <w:rFonts w:ascii="Times New Roman" w:hAnsi="Times New Roman"/>
          <w:b/>
          <w:sz w:val="17"/>
        </w:rPr>
        <w:t>TABLE II</w:t>
        <w:br/>
      </w:r>
      <w:r>
        <w:rPr>
          <w:rFonts w:ascii="Times New Roman" w:hAnsi="Times New Roman"/>
          <w:sz w:val="16"/>
        </w:rPr>
        <w:t>QUANTITATIVE BENCHMARK SWEEP ACROSS MARITIME FAILURE SCENARIOS</w:t>
      </w:r>
    </w:p>
    <w:tbl>
      <w:tblPr>
        <w:tblW w:type="auto" w:w="0"/>
        <w:jc w:val="left"/>
        <w:tblLayout w:type="fixed"/>
        <w:tblLook w:firstColumn="1" w:firstRow="1" w:lastColumn="0" w:lastRow="0" w:noHBand="0" w:noVBand="1" w:val="04A0"/>
        <w:tblW w:w="4800" w:type="dxa"/>
        <w:tblLayout w:type="fixed"/>
        <w:tblBorders>
          <w:top w:val="single" w:sz="10" w:space="0" w:color="000000"/>
          <w:bottom w:val="single" w:sz="10" w:space="0" w:color="000000"/>
          <w:left w:val="none"/>
          <w:right w:val="none"/>
          <w:insideH w:val="none"/>
          <w:insideV w:val="none"/>
        </w:tblBorders>
      </w:tblPr>
      <w:tblGrid>
        <w:gridCol w:w="1685"/>
        <w:gridCol w:w="1685"/>
        <w:gridCol w:w="1685"/>
        <w:gridCol w:w="1685"/>
        <w:gridCol w:w="1685"/>
        <w:gridCol w:w="1685"/>
      </w:tblGrid>
      <w:tr>
        <w:trPr>
          <w:cantSplit/>
        </w:trPr>
        <w:tc>
          <w:tcPr>
            <w:tcW w:type="dxa" w:w="1224"/>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Architecture</w:t>
            </w:r>
          </w:p>
        </w:tc>
        <w:tc>
          <w:tcPr>
            <w:tcW w:type="dxa" w:w="936"/>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Scenario</w:t>
            </w:r>
          </w:p>
        </w:tc>
        <w:tc>
          <w:tcPr>
            <w:tcW w:type="dxa" w:w="792"/>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T_conv (s)</w:t>
            </w:r>
          </w:p>
        </w:tc>
        <w:tc>
          <w:tcPr>
            <w:tcW w:type="dxa" w:w="648"/>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Retention</w:t>
            </w:r>
          </w:p>
        </w:tc>
        <w:tc>
          <w:tcPr>
            <w:tcW w:type="dxa" w:w="648"/>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Violations</w:t>
            </w:r>
          </w:p>
        </w:tc>
        <w:tc>
          <w:tcPr>
            <w:tcW w:type="dxa" w:w="619"/>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MTTR (s)</w:t>
            </w:r>
          </w:p>
        </w:tc>
      </w:tr>
      <w:tr>
        <w:trPr>
          <w:cantSplit/>
        </w:trPr>
        <w:tc>
          <w:tcPr>
            <w:tcW w:type="dxa" w:w="1224"/>
            <w:tcMar>
              <w:top w:w="30" w:type="dxa"/>
              <w:bottom w:w="30" w:type="dxa"/>
              <w:left w:w="30" w:type="dxa"/>
              <w:right w:w="30" w:type="dxa"/>
            </w:tcMar>
            <w:shd w:fill="FFFFFF"/>
          </w:tcPr>
          <w:p>
            <w:pPr>
              <w:spacing w:before="20" w:after="20" w:line="240" w:lineRule="auto"/>
              <w:jc w:val="left"/>
            </w:pPr>
            <w:r>
              <w:rPr>
                <w:rFonts w:ascii="Times New Roman" w:hAnsi="Times New Roman"/>
                <w:sz w:val="15"/>
              </w:rPr>
              <w:t>APF</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Nominal</w:t>
            </w:r>
          </w:p>
        </w:tc>
        <w:tc>
          <w:tcPr>
            <w:tcW w:type="dxa" w:w="792"/>
            <w:tcMar>
              <w:top w:w="30" w:type="dxa"/>
              <w:bottom w:w="30" w:type="dxa"/>
              <w:left w:w="30" w:type="dxa"/>
              <w:right w:w="30" w:type="dxa"/>
            </w:tcMar>
            <w:shd w:fill="FFFFFF"/>
          </w:tcPr>
          <w:p>
            <w:pPr>
              <w:spacing w:before="20" w:after="20" w:line="240" w:lineRule="auto"/>
              <w:jc w:val="center"/>
            </w:pPr>
            <w:r>
              <w:rPr>
                <w:rFonts w:ascii="Times New Roman" w:hAnsi="Times New Roman"/>
                <w:sz w:val="15"/>
              </w:rPr>
              <w:t>28.5 ± 2.1</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82.0%</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1.8</w:t>
            </w:r>
          </w:p>
        </w:tc>
        <w:tc>
          <w:tcPr>
            <w:tcW w:type="dxa" w:w="619"/>
            <w:tcMar>
              <w:top w:w="30" w:type="dxa"/>
              <w:bottom w:w="30" w:type="dxa"/>
              <w:left w:w="30" w:type="dxa"/>
              <w:right w:w="30" w:type="dxa"/>
            </w:tcMar>
            <w:shd w:fill="FFFFFF"/>
          </w:tcPr>
          <w:p>
            <w:pPr>
              <w:spacing w:before="20" w:after="20" w:line="240" w:lineRule="auto"/>
              <w:jc w:val="center"/>
            </w:pPr>
            <w:r>
              <w:rPr>
                <w:rFonts w:ascii="Times New Roman" w:hAnsi="Times New Roman"/>
                <w:sz w:val="15"/>
              </w:rPr>
              <w:t>N/A</w:t>
            </w:r>
          </w:p>
        </w:tc>
      </w:tr>
      <w:tr>
        <w:trPr>
          <w:cantSplit/>
        </w:trPr>
        <w:tc>
          <w:tcPr>
            <w:tcW w:type="dxa" w:w="1224"/>
            <w:tcMar>
              <w:top w:w="30" w:type="dxa"/>
              <w:bottom w:w="30" w:type="dxa"/>
              <w:left w:w="30" w:type="dxa"/>
              <w:right w:w="30" w:type="dxa"/>
            </w:tcMar>
            <w:shd w:fill="F4F4F4"/>
          </w:tcPr>
          <w:p>
            <w:pPr>
              <w:spacing w:before="20" w:after="20" w:line="240" w:lineRule="auto"/>
              <w:jc w:val="left"/>
            </w:pPr>
            <w:r>
              <w:rPr>
                <w:rFonts w:ascii="Times New Roman" w:hAnsi="Times New Roman"/>
                <w:sz w:val="15"/>
              </w:rPr>
              <w:t>APF</w:t>
            </w:r>
          </w:p>
        </w:tc>
        <w:tc>
          <w:tcPr>
            <w:tcW w:type="dxa" w:w="936"/>
            <w:tcMar>
              <w:top w:w="30" w:type="dxa"/>
              <w:bottom w:w="30" w:type="dxa"/>
              <w:left w:w="30" w:type="dxa"/>
              <w:right w:w="30" w:type="dxa"/>
            </w:tcMar>
            <w:shd w:fill="F4F4F4"/>
          </w:tcPr>
          <w:p>
            <w:pPr>
              <w:spacing w:before="20" w:after="20" w:line="240" w:lineRule="auto"/>
              <w:jc w:val="center"/>
            </w:pPr>
            <w:r>
              <w:rPr>
                <w:rFonts w:ascii="Times New Roman" w:hAnsi="Times New Roman"/>
                <w:sz w:val="15"/>
              </w:rPr>
              <w:t>Single-Fault</w:t>
            </w:r>
          </w:p>
        </w:tc>
        <w:tc>
          <w:tcPr>
            <w:tcW w:type="dxa" w:w="792"/>
            <w:tcMar>
              <w:top w:w="30" w:type="dxa"/>
              <w:bottom w:w="30" w:type="dxa"/>
              <w:left w:w="30" w:type="dxa"/>
              <w:right w:w="30" w:type="dxa"/>
            </w:tcMar>
            <w:shd w:fill="F4F4F4"/>
          </w:tcPr>
          <w:p>
            <w:pPr>
              <w:spacing w:before="20" w:after="20" w:line="240" w:lineRule="auto"/>
              <w:jc w:val="center"/>
            </w:pPr>
            <w:r>
              <w:rPr>
                <w:rFonts w:ascii="Times New Roman" w:hAnsi="Times New Roman"/>
                <w:sz w:val="15"/>
              </w:rPr>
              <w:t>34.2 ± 3.4</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64.0%</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3.4</w:t>
            </w:r>
          </w:p>
        </w:tc>
        <w:tc>
          <w:tcPr>
            <w:tcW w:type="dxa" w:w="619"/>
            <w:tcMar>
              <w:top w:w="30" w:type="dxa"/>
              <w:bottom w:w="30" w:type="dxa"/>
              <w:left w:w="30" w:type="dxa"/>
              <w:right w:w="30" w:type="dxa"/>
            </w:tcMar>
            <w:shd w:fill="F4F4F4"/>
          </w:tcPr>
          <w:p>
            <w:pPr>
              <w:spacing w:before="20" w:after="20" w:line="240" w:lineRule="auto"/>
              <w:jc w:val="center"/>
            </w:pPr>
            <w:r>
              <w:rPr>
                <w:rFonts w:ascii="Times New Roman" w:hAnsi="Times New Roman"/>
                <w:sz w:val="15"/>
              </w:rPr>
              <w:t>9.2 ± 1.8</w:t>
            </w:r>
          </w:p>
        </w:tc>
      </w:tr>
      <w:tr>
        <w:trPr>
          <w:cantSplit/>
        </w:trPr>
        <w:tc>
          <w:tcPr>
            <w:tcW w:type="dxa" w:w="1224"/>
            <w:tcMar>
              <w:top w:w="30" w:type="dxa"/>
              <w:bottom w:w="30" w:type="dxa"/>
              <w:left w:w="30" w:type="dxa"/>
              <w:right w:w="30" w:type="dxa"/>
            </w:tcMar>
            <w:shd w:fill="FFFFFF"/>
          </w:tcPr>
          <w:p>
            <w:pPr>
              <w:spacing w:before="20" w:after="20" w:line="240" w:lineRule="auto"/>
              <w:jc w:val="left"/>
            </w:pPr>
            <w:r>
              <w:rPr>
                <w:rFonts w:ascii="Times New Roman" w:hAnsi="Times New Roman"/>
                <w:sz w:val="15"/>
              </w:rPr>
              <w:t>APF</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Multi-Fault</w:t>
            </w:r>
          </w:p>
        </w:tc>
        <w:tc>
          <w:tcPr>
            <w:tcW w:type="dxa" w:w="792"/>
            <w:tcMar>
              <w:top w:w="30" w:type="dxa"/>
              <w:bottom w:w="30" w:type="dxa"/>
              <w:left w:w="30" w:type="dxa"/>
              <w:right w:w="30" w:type="dxa"/>
            </w:tcMar>
            <w:shd w:fill="FFFFFF"/>
          </w:tcPr>
          <w:p>
            <w:pPr>
              <w:spacing w:before="20" w:after="20" w:line="240" w:lineRule="auto"/>
              <w:jc w:val="center"/>
            </w:pPr>
            <w:r>
              <w:rPr>
                <w:rFonts w:ascii="Times New Roman" w:hAnsi="Times New Roman"/>
                <w:sz w:val="15"/>
              </w:rPr>
              <w:t>48.0 ± 5.2</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41.0%</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5.2</w:t>
            </w:r>
          </w:p>
        </w:tc>
        <w:tc>
          <w:tcPr>
            <w:tcW w:type="dxa" w:w="619"/>
            <w:tcMar>
              <w:top w:w="30" w:type="dxa"/>
              <w:bottom w:w="30" w:type="dxa"/>
              <w:left w:w="30" w:type="dxa"/>
              <w:right w:w="30" w:type="dxa"/>
            </w:tcMar>
            <w:shd w:fill="FFFFFF"/>
          </w:tcPr>
          <w:p>
            <w:pPr>
              <w:spacing w:before="20" w:after="20" w:line="240" w:lineRule="auto"/>
              <w:jc w:val="center"/>
            </w:pPr>
            <w:r>
              <w:rPr>
                <w:rFonts w:ascii="Times New Roman" w:hAnsi="Times New Roman"/>
                <w:sz w:val="15"/>
              </w:rPr>
              <w:t>14.5 ± 2.6</w:t>
            </w:r>
          </w:p>
        </w:tc>
      </w:tr>
      <w:tr>
        <w:trPr>
          <w:cantSplit/>
        </w:trPr>
        <w:tc>
          <w:tcPr>
            <w:tcW w:type="dxa" w:w="1224"/>
            <w:tcMar>
              <w:top w:w="30" w:type="dxa"/>
              <w:bottom w:w="30" w:type="dxa"/>
              <w:left w:w="30" w:type="dxa"/>
              <w:right w:w="30" w:type="dxa"/>
            </w:tcMar>
            <w:shd w:fill="F4F4F4"/>
          </w:tcPr>
          <w:p>
            <w:pPr>
              <w:spacing w:before="20" w:after="20" w:line="240" w:lineRule="auto"/>
              <w:jc w:val="left"/>
            </w:pPr>
            <w:r>
              <w:rPr>
                <w:rFonts w:ascii="Times New Roman" w:hAnsi="Times New Roman"/>
                <w:sz w:val="15"/>
              </w:rPr>
              <w:t>IPPO</w:t>
            </w:r>
          </w:p>
        </w:tc>
        <w:tc>
          <w:tcPr>
            <w:tcW w:type="dxa" w:w="936"/>
            <w:tcMar>
              <w:top w:w="30" w:type="dxa"/>
              <w:bottom w:w="30" w:type="dxa"/>
              <w:left w:w="30" w:type="dxa"/>
              <w:right w:w="30" w:type="dxa"/>
            </w:tcMar>
            <w:shd w:fill="F4F4F4"/>
          </w:tcPr>
          <w:p>
            <w:pPr>
              <w:spacing w:before="20" w:after="20" w:line="240" w:lineRule="auto"/>
              <w:jc w:val="center"/>
            </w:pPr>
            <w:r>
              <w:rPr>
                <w:rFonts w:ascii="Times New Roman" w:hAnsi="Times New Roman"/>
                <w:sz w:val="15"/>
              </w:rPr>
              <w:t>Nominal</w:t>
            </w:r>
          </w:p>
        </w:tc>
        <w:tc>
          <w:tcPr>
            <w:tcW w:type="dxa" w:w="792"/>
            <w:tcMar>
              <w:top w:w="30" w:type="dxa"/>
              <w:bottom w:w="30" w:type="dxa"/>
              <w:left w:w="30" w:type="dxa"/>
              <w:right w:w="30" w:type="dxa"/>
            </w:tcMar>
            <w:shd w:fill="F4F4F4"/>
          </w:tcPr>
          <w:p>
            <w:pPr>
              <w:spacing w:before="20" w:after="20" w:line="240" w:lineRule="auto"/>
              <w:jc w:val="center"/>
            </w:pPr>
            <w:r>
              <w:rPr>
                <w:rFonts w:ascii="Times New Roman" w:hAnsi="Times New Roman"/>
                <w:sz w:val="15"/>
              </w:rPr>
              <w:t>24.1 ± 1.8</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88.5%</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1.2</w:t>
            </w:r>
          </w:p>
        </w:tc>
        <w:tc>
          <w:tcPr>
            <w:tcW w:type="dxa" w:w="619"/>
            <w:tcMar>
              <w:top w:w="30" w:type="dxa"/>
              <w:bottom w:w="30" w:type="dxa"/>
              <w:left w:w="30" w:type="dxa"/>
              <w:right w:w="30" w:type="dxa"/>
            </w:tcMar>
            <w:shd w:fill="F4F4F4"/>
          </w:tcPr>
          <w:p>
            <w:pPr>
              <w:spacing w:before="20" w:after="20" w:line="240" w:lineRule="auto"/>
              <w:jc w:val="center"/>
            </w:pPr>
            <w:r>
              <w:rPr>
                <w:rFonts w:ascii="Times New Roman" w:hAnsi="Times New Roman"/>
                <w:sz w:val="15"/>
              </w:rPr>
              <w:t>N/A</w:t>
            </w:r>
          </w:p>
        </w:tc>
      </w:tr>
      <w:tr>
        <w:trPr>
          <w:cantSplit/>
        </w:trPr>
        <w:tc>
          <w:tcPr>
            <w:tcW w:type="dxa" w:w="1224"/>
            <w:tcMar>
              <w:top w:w="30" w:type="dxa"/>
              <w:bottom w:w="30" w:type="dxa"/>
              <w:left w:w="30" w:type="dxa"/>
              <w:right w:w="30" w:type="dxa"/>
            </w:tcMar>
            <w:shd w:fill="FFFFFF"/>
          </w:tcPr>
          <w:p>
            <w:pPr>
              <w:spacing w:before="20" w:after="20" w:line="240" w:lineRule="auto"/>
              <w:jc w:val="left"/>
            </w:pPr>
            <w:r>
              <w:rPr>
                <w:rFonts w:ascii="Times New Roman" w:hAnsi="Times New Roman"/>
                <w:sz w:val="15"/>
              </w:rPr>
              <w:t>IPPO</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Single-Fault</w:t>
            </w:r>
          </w:p>
        </w:tc>
        <w:tc>
          <w:tcPr>
            <w:tcW w:type="dxa" w:w="792"/>
            <w:tcMar>
              <w:top w:w="30" w:type="dxa"/>
              <w:bottom w:w="30" w:type="dxa"/>
              <w:left w:w="30" w:type="dxa"/>
              <w:right w:w="30" w:type="dxa"/>
            </w:tcMar>
            <w:shd w:fill="FFFFFF"/>
          </w:tcPr>
          <w:p>
            <w:pPr>
              <w:spacing w:before="20" w:after="20" w:line="240" w:lineRule="auto"/>
              <w:jc w:val="center"/>
            </w:pPr>
            <w:r>
              <w:rPr>
                <w:rFonts w:ascii="Times New Roman" w:hAnsi="Times New Roman"/>
                <w:sz w:val="15"/>
              </w:rPr>
              <w:t>31.8 ± 2.6</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71.0%</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2.6</w:t>
            </w:r>
          </w:p>
        </w:tc>
        <w:tc>
          <w:tcPr>
            <w:tcW w:type="dxa" w:w="619"/>
            <w:tcMar>
              <w:top w:w="30" w:type="dxa"/>
              <w:bottom w:w="30" w:type="dxa"/>
              <w:left w:w="30" w:type="dxa"/>
              <w:right w:w="30" w:type="dxa"/>
            </w:tcMar>
            <w:shd w:fill="FFFFFF"/>
          </w:tcPr>
          <w:p>
            <w:pPr>
              <w:spacing w:before="20" w:after="20" w:line="240" w:lineRule="auto"/>
              <w:jc w:val="center"/>
            </w:pPr>
            <w:r>
              <w:rPr>
                <w:rFonts w:ascii="Times New Roman" w:hAnsi="Times New Roman"/>
                <w:sz w:val="15"/>
              </w:rPr>
              <w:t>7.8 ± 1.5</w:t>
            </w:r>
          </w:p>
        </w:tc>
      </w:tr>
      <w:tr>
        <w:trPr>
          <w:cantSplit/>
        </w:trPr>
        <w:tc>
          <w:tcPr>
            <w:tcW w:type="dxa" w:w="1224"/>
            <w:tcMar>
              <w:top w:w="30" w:type="dxa"/>
              <w:bottom w:w="30" w:type="dxa"/>
              <w:left w:w="30" w:type="dxa"/>
              <w:right w:w="30" w:type="dxa"/>
            </w:tcMar>
            <w:shd w:fill="F4F4F4"/>
          </w:tcPr>
          <w:p>
            <w:pPr>
              <w:spacing w:before="20" w:after="20" w:line="240" w:lineRule="auto"/>
              <w:jc w:val="left"/>
            </w:pPr>
            <w:r>
              <w:rPr>
                <w:rFonts w:ascii="Times New Roman" w:hAnsi="Times New Roman"/>
                <w:sz w:val="15"/>
              </w:rPr>
              <w:t>IPPO</w:t>
            </w:r>
          </w:p>
        </w:tc>
        <w:tc>
          <w:tcPr>
            <w:tcW w:type="dxa" w:w="936"/>
            <w:tcMar>
              <w:top w:w="30" w:type="dxa"/>
              <w:bottom w:w="30" w:type="dxa"/>
              <w:left w:w="30" w:type="dxa"/>
              <w:right w:w="30" w:type="dxa"/>
            </w:tcMar>
            <w:shd w:fill="F4F4F4"/>
          </w:tcPr>
          <w:p>
            <w:pPr>
              <w:spacing w:before="20" w:after="20" w:line="240" w:lineRule="auto"/>
              <w:jc w:val="center"/>
            </w:pPr>
            <w:r>
              <w:rPr>
                <w:rFonts w:ascii="Times New Roman" w:hAnsi="Times New Roman"/>
                <w:sz w:val="15"/>
              </w:rPr>
              <w:t>Multi-Fault</w:t>
            </w:r>
          </w:p>
        </w:tc>
        <w:tc>
          <w:tcPr>
            <w:tcW w:type="dxa" w:w="792"/>
            <w:tcMar>
              <w:top w:w="30" w:type="dxa"/>
              <w:bottom w:w="30" w:type="dxa"/>
              <w:left w:w="30" w:type="dxa"/>
              <w:right w:w="30" w:type="dxa"/>
            </w:tcMar>
            <w:shd w:fill="F4F4F4"/>
          </w:tcPr>
          <w:p>
            <w:pPr>
              <w:spacing w:before="20" w:after="20" w:line="240" w:lineRule="auto"/>
              <w:jc w:val="center"/>
            </w:pPr>
            <w:r>
              <w:rPr>
                <w:rFonts w:ascii="Times New Roman" w:hAnsi="Times New Roman"/>
                <w:sz w:val="15"/>
              </w:rPr>
              <w:t>44.5 ± 4.1</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52.0%</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4.1</w:t>
            </w:r>
          </w:p>
        </w:tc>
        <w:tc>
          <w:tcPr>
            <w:tcW w:type="dxa" w:w="619"/>
            <w:tcMar>
              <w:top w:w="30" w:type="dxa"/>
              <w:bottom w:w="30" w:type="dxa"/>
              <w:left w:w="30" w:type="dxa"/>
              <w:right w:w="30" w:type="dxa"/>
            </w:tcMar>
            <w:shd w:fill="F4F4F4"/>
          </w:tcPr>
          <w:p>
            <w:pPr>
              <w:spacing w:before="20" w:after="20" w:line="240" w:lineRule="auto"/>
              <w:jc w:val="center"/>
            </w:pPr>
            <w:r>
              <w:rPr>
                <w:rFonts w:ascii="Times New Roman" w:hAnsi="Times New Roman"/>
                <w:sz w:val="15"/>
              </w:rPr>
              <w:t>11.2 ± 2.2</w:t>
            </w:r>
          </w:p>
        </w:tc>
      </w:tr>
      <w:tr>
        <w:trPr>
          <w:cantSplit/>
        </w:trPr>
        <w:tc>
          <w:tcPr>
            <w:tcW w:type="dxa" w:w="1224"/>
            <w:tcMar>
              <w:top w:w="30" w:type="dxa"/>
              <w:bottom w:w="30" w:type="dxa"/>
              <w:left w:w="30" w:type="dxa"/>
              <w:right w:w="30" w:type="dxa"/>
            </w:tcMar>
            <w:shd w:fill="FFFFFF"/>
          </w:tcPr>
          <w:p>
            <w:pPr>
              <w:spacing w:before="20" w:after="20" w:line="240" w:lineRule="auto"/>
              <w:jc w:val="left"/>
            </w:pPr>
            <w:r>
              <w:rPr>
                <w:rFonts w:ascii="Times New Roman" w:hAnsi="Times New Roman"/>
                <w:sz w:val="15"/>
              </w:rPr>
              <w:t>Vanilla MAPPO</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Nominal</w:t>
            </w:r>
          </w:p>
        </w:tc>
        <w:tc>
          <w:tcPr>
            <w:tcW w:type="dxa" w:w="792"/>
            <w:tcMar>
              <w:top w:w="30" w:type="dxa"/>
              <w:bottom w:w="30" w:type="dxa"/>
              <w:left w:w="30" w:type="dxa"/>
              <w:right w:w="30" w:type="dxa"/>
            </w:tcMar>
            <w:shd w:fill="FFFFFF"/>
          </w:tcPr>
          <w:p>
            <w:pPr>
              <w:spacing w:before="20" w:after="20" w:line="240" w:lineRule="auto"/>
              <w:jc w:val="center"/>
            </w:pPr>
            <w:r>
              <w:rPr>
                <w:rFonts w:ascii="Times New Roman" w:hAnsi="Times New Roman"/>
                <w:sz w:val="15"/>
              </w:rPr>
              <w:t>21.0 ± 1.5</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94.0%</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0.8</w:t>
            </w:r>
          </w:p>
        </w:tc>
        <w:tc>
          <w:tcPr>
            <w:tcW w:type="dxa" w:w="619"/>
            <w:tcMar>
              <w:top w:w="30" w:type="dxa"/>
              <w:bottom w:w="30" w:type="dxa"/>
              <w:left w:w="30" w:type="dxa"/>
              <w:right w:w="30" w:type="dxa"/>
            </w:tcMar>
            <w:shd w:fill="FFFFFF"/>
          </w:tcPr>
          <w:p>
            <w:pPr>
              <w:spacing w:before="20" w:after="20" w:line="240" w:lineRule="auto"/>
              <w:jc w:val="center"/>
            </w:pPr>
            <w:r>
              <w:rPr>
                <w:rFonts w:ascii="Times New Roman" w:hAnsi="Times New Roman"/>
                <w:sz w:val="15"/>
              </w:rPr>
              <w:t>N/A</w:t>
            </w:r>
          </w:p>
        </w:tc>
      </w:tr>
      <w:tr>
        <w:trPr>
          <w:cantSplit/>
        </w:trPr>
        <w:tc>
          <w:tcPr>
            <w:tcW w:type="dxa" w:w="1224"/>
            <w:tcMar>
              <w:top w:w="30" w:type="dxa"/>
              <w:bottom w:w="30" w:type="dxa"/>
              <w:left w:w="30" w:type="dxa"/>
              <w:right w:w="30" w:type="dxa"/>
            </w:tcMar>
            <w:shd w:fill="F4F4F4"/>
          </w:tcPr>
          <w:p>
            <w:pPr>
              <w:spacing w:before="20" w:after="20" w:line="240" w:lineRule="auto"/>
              <w:jc w:val="left"/>
            </w:pPr>
            <w:r>
              <w:rPr>
                <w:rFonts w:ascii="Times New Roman" w:hAnsi="Times New Roman"/>
                <w:sz w:val="15"/>
              </w:rPr>
              <w:t>Vanilla MAPPO</w:t>
            </w:r>
          </w:p>
        </w:tc>
        <w:tc>
          <w:tcPr>
            <w:tcW w:type="dxa" w:w="936"/>
            <w:tcMar>
              <w:top w:w="30" w:type="dxa"/>
              <w:bottom w:w="30" w:type="dxa"/>
              <w:left w:w="30" w:type="dxa"/>
              <w:right w:w="30" w:type="dxa"/>
            </w:tcMar>
            <w:shd w:fill="F4F4F4"/>
          </w:tcPr>
          <w:p>
            <w:pPr>
              <w:spacing w:before="20" w:after="20" w:line="240" w:lineRule="auto"/>
              <w:jc w:val="center"/>
            </w:pPr>
            <w:r>
              <w:rPr>
                <w:rFonts w:ascii="Times New Roman" w:hAnsi="Times New Roman"/>
                <w:sz w:val="15"/>
              </w:rPr>
              <w:t>Single-Fault</w:t>
            </w:r>
          </w:p>
        </w:tc>
        <w:tc>
          <w:tcPr>
            <w:tcW w:type="dxa" w:w="792"/>
            <w:tcMar>
              <w:top w:w="30" w:type="dxa"/>
              <w:bottom w:w="30" w:type="dxa"/>
              <w:left w:w="30" w:type="dxa"/>
              <w:right w:w="30" w:type="dxa"/>
            </w:tcMar>
            <w:shd w:fill="F4F4F4"/>
          </w:tcPr>
          <w:p>
            <w:pPr>
              <w:spacing w:before="20" w:after="20" w:line="240" w:lineRule="auto"/>
              <w:jc w:val="center"/>
            </w:pPr>
            <w:r>
              <w:rPr>
                <w:rFonts w:ascii="Times New Roman" w:hAnsi="Times New Roman"/>
                <w:sz w:val="15"/>
              </w:rPr>
              <w:t>27.5 ± 2.2</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81.5%</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1.9</w:t>
            </w:r>
          </w:p>
        </w:tc>
        <w:tc>
          <w:tcPr>
            <w:tcW w:type="dxa" w:w="619"/>
            <w:tcMar>
              <w:top w:w="30" w:type="dxa"/>
              <w:bottom w:w="30" w:type="dxa"/>
              <w:left w:w="30" w:type="dxa"/>
              <w:right w:w="30" w:type="dxa"/>
            </w:tcMar>
            <w:shd w:fill="F4F4F4"/>
          </w:tcPr>
          <w:p>
            <w:pPr>
              <w:spacing w:before="20" w:after="20" w:line="240" w:lineRule="auto"/>
              <w:jc w:val="center"/>
            </w:pPr>
            <w:r>
              <w:rPr>
                <w:rFonts w:ascii="Times New Roman" w:hAnsi="Times New Roman"/>
                <w:sz w:val="15"/>
              </w:rPr>
              <w:t>5.8 ± 1.2</w:t>
            </w:r>
          </w:p>
        </w:tc>
      </w:tr>
      <w:tr>
        <w:trPr>
          <w:cantSplit/>
        </w:trPr>
        <w:tc>
          <w:tcPr>
            <w:tcW w:type="dxa" w:w="1224"/>
            <w:tcMar>
              <w:top w:w="30" w:type="dxa"/>
              <w:bottom w:w="30" w:type="dxa"/>
              <w:left w:w="30" w:type="dxa"/>
              <w:right w:w="30" w:type="dxa"/>
            </w:tcMar>
            <w:shd w:fill="FFFFFF"/>
          </w:tcPr>
          <w:p>
            <w:pPr>
              <w:spacing w:before="20" w:after="20" w:line="240" w:lineRule="auto"/>
              <w:jc w:val="left"/>
            </w:pPr>
            <w:r>
              <w:rPr>
                <w:rFonts w:ascii="Times New Roman" w:hAnsi="Times New Roman"/>
                <w:sz w:val="15"/>
              </w:rPr>
              <w:t>Vanilla MAPPO</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Multi-Fault</w:t>
            </w:r>
          </w:p>
        </w:tc>
        <w:tc>
          <w:tcPr>
            <w:tcW w:type="dxa" w:w="792"/>
            <w:tcMar>
              <w:top w:w="30" w:type="dxa"/>
              <w:bottom w:w="30" w:type="dxa"/>
              <w:left w:w="30" w:type="dxa"/>
              <w:right w:w="30" w:type="dxa"/>
            </w:tcMar>
            <w:shd w:fill="FFFFFF"/>
          </w:tcPr>
          <w:p>
            <w:pPr>
              <w:spacing w:before="20" w:after="20" w:line="240" w:lineRule="auto"/>
              <w:jc w:val="center"/>
            </w:pPr>
            <w:r>
              <w:rPr>
                <w:rFonts w:ascii="Times New Roman" w:hAnsi="Times New Roman"/>
                <w:sz w:val="15"/>
              </w:rPr>
              <w:t>38.2 ± 3.6</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68.0%</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3.2</w:t>
            </w:r>
          </w:p>
        </w:tc>
        <w:tc>
          <w:tcPr>
            <w:tcW w:type="dxa" w:w="619"/>
            <w:tcMar>
              <w:top w:w="30" w:type="dxa"/>
              <w:bottom w:w="30" w:type="dxa"/>
              <w:left w:w="30" w:type="dxa"/>
              <w:right w:w="30" w:type="dxa"/>
            </w:tcMar>
            <w:shd w:fill="FFFFFF"/>
          </w:tcPr>
          <w:p>
            <w:pPr>
              <w:spacing w:before="20" w:after="20" w:line="240" w:lineRule="auto"/>
              <w:jc w:val="center"/>
            </w:pPr>
            <w:r>
              <w:rPr>
                <w:rFonts w:ascii="Times New Roman" w:hAnsi="Times New Roman"/>
                <w:sz w:val="15"/>
              </w:rPr>
              <w:t>8.5 ± 1.8</w:t>
            </w:r>
          </w:p>
        </w:tc>
      </w:tr>
      <w:tr>
        <w:trPr>
          <w:cantSplit/>
        </w:trPr>
        <w:tc>
          <w:tcPr>
            <w:tcW w:type="dxa" w:w="1224"/>
            <w:tcMar>
              <w:top w:w="30" w:type="dxa"/>
              <w:bottom w:w="30" w:type="dxa"/>
              <w:left w:w="30" w:type="dxa"/>
              <w:right w:w="30" w:type="dxa"/>
            </w:tcMar>
            <w:shd w:fill="F4F4F4"/>
          </w:tcPr>
          <w:p>
            <w:pPr>
              <w:spacing w:before="20" w:after="20" w:line="240" w:lineRule="auto"/>
              <w:jc w:val="left"/>
            </w:pPr>
            <w:r>
              <w:rPr>
                <w:rFonts w:ascii="Times New Roman" w:hAnsi="Times New Roman"/>
                <w:sz w:val="15"/>
              </w:rPr>
              <w:t>FA-MAPPO (Ours)</w:t>
            </w:r>
          </w:p>
        </w:tc>
        <w:tc>
          <w:tcPr>
            <w:tcW w:type="dxa" w:w="936"/>
            <w:tcMar>
              <w:top w:w="30" w:type="dxa"/>
              <w:bottom w:w="30" w:type="dxa"/>
              <w:left w:w="30" w:type="dxa"/>
              <w:right w:w="30" w:type="dxa"/>
            </w:tcMar>
            <w:shd w:fill="F4F4F4"/>
          </w:tcPr>
          <w:p>
            <w:pPr>
              <w:spacing w:before="20" w:after="20" w:line="240" w:lineRule="auto"/>
              <w:jc w:val="center"/>
            </w:pPr>
            <w:r>
              <w:rPr>
                <w:rFonts w:ascii="Times New Roman" w:hAnsi="Times New Roman"/>
                <w:sz w:val="15"/>
              </w:rPr>
              <w:t>Nominal</w:t>
            </w:r>
          </w:p>
        </w:tc>
        <w:tc>
          <w:tcPr>
            <w:tcW w:type="dxa" w:w="792"/>
            <w:tcMar>
              <w:top w:w="30" w:type="dxa"/>
              <w:bottom w:w="30" w:type="dxa"/>
              <w:left w:w="30" w:type="dxa"/>
              <w:right w:w="30" w:type="dxa"/>
            </w:tcMar>
            <w:shd w:fill="F4F4F4"/>
          </w:tcPr>
          <w:p>
            <w:pPr>
              <w:spacing w:before="20" w:after="20" w:line="240" w:lineRule="auto"/>
              <w:jc w:val="center"/>
            </w:pPr>
            <w:r>
              <w:rPr>
                <w:rFonts w:ascii="Times New Roman" w:hAnsi="Times New Roman"/>
                <w:sz w:val="15"/>
              </w:rPr>
              <w:t>17.4 ± 1.1</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98.5%</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0.0</w:t>
            </w:r>
          </w:p>
        </w:tc>
        <w:tc>
          <w:tcPr>
            <w:tcW w:type="dxa" w:w="619"/>
            <w:tcMar>
              <w:top w:w="30" w:type="dxa"/>
              <w:bottom w:w="30" w:type="dxa"/>
              <w:left w:w="30" w:type="dxa"/>
              <w:right w:w="30" w:type="dxa"/>
            </w:tcMar>
            <w:shd w:fill="F4F4F4"/>
          </w:tcPr>
          <w:p>
            <w:pPr>
              <w:spacing w:before="20" w:after="20" w:line="240" w:lineRule="auto"/>
              <w:jc w:val="center"/>
            </w:pPr>
            <w:r>
              <w:rPr>
                <w:rFonts w:ascii="Times New Roman" w:hAnsi="Times New Roman"/>
                <w:sz w:val="15"/>
              </w:rPr>
              <w:t>N/A</w:t>
            </w:r>
          </w:p>
        </w:tc>
      </w:tr>
      <w:tr>
        <w:trPr>
          <w:cantSplit/>
        </w:trPr>
        <w:tc>
          <w:tcPr>
            <w:tcW w:type="dxa" w:w="1224"/>
            <w:tcMar>
              <w:top w:w="30" w:type="dxa"/>
              <w:bottom w:w="30" w:type="dxa"/>
              <w:left w:w="30" w:type="dxa"/>
              <w:right w:w="30" w:type="dxa"/>
            </w:tcMar>
            <w:shd w:fill="FFFFFF"/>
          </w:tcPr>
          <w:p>
            <w:pPr>
              <w:spacing w:before="20" w:after="20" w:line="240" w:lineRule="auto"/>
              <w:jc w:val="left"/>
            </w:pPr>
            <w:r>
              <w:rPr>
                <w:rFonts w:ascii="Times New Roman" w:hAnsi="Times New Roman"/>
                <w:sz w:val="15"/>
              </w:rPr>
              <w:t>FA-MAPPO (Ours)</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Single-Fault</w:t>
            </w:r>
          </w:p>
        </w:tc>
        <w:tc>
          <w:tcPr>
            <w:tcW w:type="dxa" w:w="792"/>
            <w:tcMar>
              <w:top w:w="30" w:type="dxa"/>
              <w:bottom w:w="30" w:type="dxa"/>
              <w:left w:w="30" w:type="dxa"/>
              <w:right w:w="30" w:type="dxa"/>
            </w:tcMar>
            <w:shd w:fill="FFFFFF"/>
          </w:tcPr>
          <w:p>
            <w:pPr>
              <w:spacing w:before="20" w:after="20" w:line="240" w:lineRule="auto"/>
              <w:jc w:val="center"/>
            </w:pPr>
            <w:r>
              <w:rPr>
                <w:rFonts w:ascii="Times New Roman" w:hAnsi="Times New Roman"/>
                <w:sz w:val="15"/>
              </w:rPr>
              <w:t>18.2 ± 1.3</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96.2%</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0.0</w:t>
            </w:r>
          </w:p>
        </w:tc>
        <w:tc>
          <w:tcPr>
            <w:tcW w:type="dxa" w:w="619"/>
            <w:tcMar>
              <w:top w:w="30" w:type="dxa"/>
              <w:bottom w:w="30" w:type="dxa"/>
              <w:left w:w="30" w:type="dxa"/>
              <w:right w:w="30" w:type="dxa"/>
            </w:tcMar>
            <w:shd w:fill="FFFFFF"/>
          </w:tcPr>
          <w:p>
            <w:pPr>
              <w:spacing w:before="20" w:after="20" w:line="240" w:lineRule="auto"/>
              <w:jc w:val="center"/>
            </w:pPr>
            <w:r>
              <w:rPr>
                <w:rFonts w:ascii="Times New Roman" w:hAnsi="Times New Roman"/>
                <w:sz w:val="15"/>
              </w:rPr>
              <w:t>1.6 ± 0.3</w:t>
            </w:r>
          </w:p>
        </w:tc>
      </w:tr>
      <w:tr>
        <w:trPr>
          <w:cantSplit/>
        </w:trPr>
        <w:tc>
          <w:tcPr>
            <w:tcW w:type="dxa" w:w="1224"/>
            <w:tcMar>
              <w:top w:w="30" w:type="dxa"/>
              <w:bottom w:w="30" w:type="dxa"/>
              <w:left w:w="30" w:type="dxa"/>
              <w:right w:w="30" w:type="dxa"/>
            </w:tcMar>
            <w:shd w:fill="F4F4F4"/>
          </w:tcPr>
          <w:p>
            <w:pPr>
              <w:spacing w:before="20" w:after="20" w:line="240" w:lineRule="auto"/>
              <w:jc w:val="left"/>
            </w:pPr>
            <w:r>
              <w:rPr>
                <w:rFonts w:ascii="Times New Roman" w:hAnsi="Times New Roman"/>
                <w:sz w:val="15"/>
              </w:rPr>
              <w:t>FA-MAPPO (Ours)</w:t>
            </w:r>
          </w:p>
        </w:tc>
        <w:tc>
          <w:tcPr>
            <w:tcW w:type="dxa" w:w="936"/>
            <w:tcMar>
              <w:top w:w="30" w:type="dxa"/>
              <w:bottom w:w="30" w:type="dxa"/>
              <w:left w:w="30" w:type="dxa"/>
              <w:right w:w="30" w:type="dxa"/>
            </w:tcMar>
            <w:shd w:fill="F4F4F4"/>
          </w:tcPr>
          <w:p>
            <w:pPr>
              <w:spacing w:before="20" w:after="20" w:line="240" w:lineRule="auto"/>
              <w:jc w:val="center"/>
            </w:pPr>
            <w:r>
              <w:rPr>
                <w:rFonts w:ascii="Times New Roman" w:hAnsi="Times New Roman"/>
                <w:sz w:val="15"/>
              </w:rPr>
              <w:t>Multi-Fault</w:t>
            </w:r>
          </w:p>
        </w:tc>
        <w:tc>
          <w:tcPr>
            <w:tcW w:type="dxa" w:w="792"/>
            <w:tcMar>
              <w:top w:w="30" w:type="dxa"/>
              <w:bottom w:w="30" w:type="dxa"/>
              <w:left w:w="30" w:type="dxa"/>
              <w:right w:w="30" w:type="dxa"/>
            </w:tcMar>
            <w:shd w:fill="F4F4F4"/>
          </w:tcPr>
          <w:p>
            <w:pPr>
              <w:spacing w:before="20" w:after="20" w:line="240" w:lineRule="auto"/>
              <w:jc w:val="center"/>
            </w:pPr>
            <w:r>
              <w:rPr>
                <w:rFonts w:ascii="Times New Roman" w:hAnsi="Times New Roman"/>
                <w:sz w:val="15"/>
              </w:rPr>
              <w:t>19.6 ± 1.4</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94.8%</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0.0</w:t>
            </w:r>
          </w:p>
        </w:tc>
        <w:tc>
          <w:tcPr>
            <w:tcW w:type="dxa" w:w="619"/>
            <w:tcMar>
              <w:top w:w="30" w:type="dxa"/>
              <w:bottom w:w="30" w:type="dxa"/>
              <w:left w:w="30" w:type="dxa"/>
              <w:right w:w="30" w:type="dxa"/>
            </w:tcMar>
            <w:shd w:fill="F4F4F4"/>
          </w:tcPr>
          <w:p>
            <w:pPr>
              <w:spacing w:before="20" w:after="20" w:line="240" w:lineRule="auto"/>
              <w:jc w:val="center"/>
            </w:pPr>
            <w:r>
              <w:rPr>
                <w:rFonts w:ascii="Times New Roman" w:hAnsi="Times New Roman"/>
                <w:sz w:val="15"/>
              </w:rPr>
              <w:t>1.7 ± 0.4</w:t>
            </w:r>
          </w:p>
        </w:tc>
      </w:tr>
    </w:tbl>
    <w:p>
      <w:pPr>
        <w:spacing w:before="0" w:after="80"/>
      </w:pPr>
    </w:p>
    <w:p>
      <w:pPr>
        <w:keepNext/>
        <w:spacing w:before="200" w:after="60"/>
        <w:jc w:val="left"/>
      </w:pPr>
      <w:r>
        <w:rPr>
          <w:rFonts w:ascii="Times New Roman" w:hAnsi="Times New Roman"/>
          <w:i/>
          <w:color w:val="000000"/>
          <w:sz w:val="20"/>
        </w:rPr>
        <w:t>B. Statistical Significance via 95% Wilson Score Confidence Intervals</w:t>
      </w:r>
    </w:p>
    <w:p>
      <w:pPr>
        <w:spacing w:before="0" w:after="80" w:line="252" w:lineRule="auto"/>
        <w:ind w:firstLine="216"/>
        <w:jc w:val="both"/>
      </w:pPr>
      <w:r>
        <w:rPr>
          <w:rFonts w:ascii="Times New Roman" w:hAnsi="Times New Roman"/>
          <w:color w:val="000000"/>
          <w:sz w:val="20"/>
        </w:rPr>
        <w:t>To establish statistical rigor and prevent reporting artifact bias, encirclement success rates were evaluated across N = 100 independent multi-fault trials using Wilson score continuity-corrected confidence intervals [20] (Fig. 12):</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7"/>
              </w:rPr>
              <w:t>w = (p + z²/2n ± z √(p(1-p)/n + z²/4n²)) / (1 + z²/n)</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(18)</w:t>
            </w:r>
          </w:p>
        </w:tc>
      </w:tr>
    </w:tbl>
    <w:p>
      <w:pPr>
        <w:spacing w:before="0" w:after="60"/>
      </w:pPr>
    </w:p>
    <w:p>
      <w:pPr>
        <w:spacing w:before="0" w:after="80" w:line="252" w:lineRule="auto"/>
        <w:ind w:firstLine="216"/>
        <w:jc w:val="both"/>
      </w:pPr>
      <w:r>
        <w:rPr>
          <w:rFonts w:ascii="Times New Roman" w:hAnsi="Times New Roman"/>
          <w:color w:val="000000"/>
          <w:sz w:val="20"/>
        </w:rPr>
        <w:t>At z = 1.96 (95% confidence level), FA-MAPPO achieved 96.0% empirical success with Wilson interval [89.7%, 98.7%]. In contrast, Vanilla MAPPO attained 82.0% [73.3%, 88.3%], IPPO attained 74.0% [64.6%, 81.6%], and APF attained 68.0% [58.2%, 76.4%]. The non-overlapping confidence intervals confirm the statistically significant superiority of FA-MAPPO (p &lt; 0.001 via two-tailed paired t-test).</w:t>
      </w:r>
    </w:p>
    <w:p>
      <w:pPr>
        <w:keepNext/>
        <w:spacing w:before="160" w:after="60"/>
        <w:jc w:val="center"/>
      </w:pPr>
      <w:r>
        <w:drawing>
          <wp:inline xmlns:a="http://schemas.openxmlformats.org/drawingml/2006/main" xmlns:pic="http://schemas.openxmlformats.org/drawingml/2006/picture">
            <wp:extent cx="3063240" cy="1617635"/>
            <wp:docPr id="12" name="Picture 12"/>
            <wp:cNvGraphicFramePr>
              <a:graphicFrameLocks noChangeAspect="1"/>
            </wp:cNvGraphicFramePr>
            <a:graphic>
              <a:graphicData uri="http://schemas.openxmlformats.org/drawingml/2006/picture">
                <pic:pic>
                  <pic:nvPicPr>
                    <pic:cNvPr id="0" name="fig17_wilson_intervals.png"/>
                    <pic:cNvPicPr/>
                  </pic:nvPicPr>
                  <pic:blipFill>
                    <a:blip r:embed="rId20"/>
                    <a:stretch>
                      <a:fillRect/>
                    </a:stretch>
                  </pic:blipFill>
                  <pic:spPr>
                    <a:xfrm>
                      <a:off x="0" y="0"/>
                      <a:ext cx="3063240" cy="1617635"/>
                    </a:xfrm>
                    <a:prstGeom prst="rect"/>
                  </pic:spPr>
                </pic:pic>
              </a:graphicData>
            </a:graphic>
          </wp:inline>
        </w:drawing>
      </w:r>
    </w:p>
    <w:p>
      <w:pPr>
        <w:spacing w:before="20" w:after="160" w:line="240" w:lineRule="auto"/>
        <w:jc w:val="both"/>
      </w:pPr>
      <w:r>
        <w:rPr>
          <w:rFonts w:ascii="Times New Roman" w:hAnsi="Times New Roman"/>
          <w:b/>
          <w:sz w:val="16"/>
        </w:rPr>
        <w:t xml:space="preserve">Fig. 12. </w:t>
      </w:r>
      <w:r>
        <w:rPr>
          <w:rFonts w:ascii="Times New Roman" w:hAnsi="Times New Roman"/>
          <w:sz w:val="16"/>
        </w:rPr>
        <w:t>Statistical uncertainty of mission success: 95% Wilson Score confidence intervals across 100 trials.</w:t>
      </w:r>
    </w:p>
    <w:p>
      <w:pPr>
        <w:keepNext/>
        <w:spacing w:before="200" w:after="60"/>
        <w:jc w:val="left"/>
      </w:pPr>
      <w:r>
        <w:rPr>
          <w:rFonts w:ascii="Times New Roman" w:hAnsi="Times New Roman"/>
          <w:i/>
          <w:color w:val="000000"/>
          <w:sz w:val="20"/>
        </w:rPr>
        <w:t>C. Component Ablation Analysis</w:t>
      </w:r>
    </w:p>
    <w:p>
      <w:pPr>
        <w:spacing w:before="0" w:after="80" w:line="252" w:lineRule="auto"/>
        <w:ind w:firstLine="216"/>
        <w:jc w:val="both"/>
      </w:pPr>
      <w:r>
        <w:rPr>
          <w:rFonts w:ascii="Times New Roman" w:hAnsi="Times New Roman"/>
          <w:color w:val="000000"/>
          <w:sz w:val="20"/>
        </w:rPr>
        <w:t>To quantify the necessity of each architectural component, we conducted systematic ablation experiments (Fig. 13):</w:t>
      </w:r>
    </w:p>
    <w:p>
      <w:pPr>
        <w:spacing w:before="0" w:after="80" w:line="252" w:lineRule="auto"/>
        <w:ind w:firstLine="216"/>
        <w:jc w:val="both"/>
      </w:pPr>
      <w:r>
        <w:rPr>
          <w:rFonts w:ascii="Times New Roman" w:hAnsi="Times New Roman"/>
          <w:color w:val="000000"/>
          <w:sz w:val="20"/>
        </w:rPr>
        <w:t>1) Ablation A1 (Remove 20 Hz CBF Shield): Retaining only the tactical policy reduces success by -14.2% and precipitates +4.2 safety collisions per run during transient fault maneuvers.</w:t>
      </w:r>
    </w:p>
    <w:p>
      <w:pPr>
        <w:spacing w:before="0" w:after="80" w:line="252" w:lineRule="auto"/>
        <w:ind w:firstLine="216"/>
        <w:jc w:val="both"/>
      </w:pPr>
      <w:r>
        <w:rPr>
          <w:rFonts w:ascii="Times New Roman" w:hAnsi="Times New Roman"/>
          <w:color w:val="000000"/>
          <w:sz w:val="20"/>
        </w:rPr>
        <w:t>2) Ablation A2 (Remove XGBoost FDI): Utilizing fixed heuristic thresholds degrades success by -8.6%, as slow fault identification delays role reallocation.</w:t>
      </w:r>
    </w:p>
    <w:p>
      <w:pPr>
        <w:spacing w:before="0" w:after="80" w:line="252" w:lineRule="auto"/>
        <w:ind w:firstLine="216"/>
        <w:jc w:val="both"/>
      </w:pPr>
      <w:r>
        <w:rPr>
          <w:rFonts w:ascii="Times New Roman" w:hAnsi="Times New Roman"/>
          <w:color w:val="000000"/>
          <w:sz w:val="20"/>
        </w:rPr>
        <w:t>3) Ablation A3 (Remove 4.0m Hysteresis): Greedy Hungarian reallocation induces high-frequency role chattering, degrading formation retention by -7.4%.</w:t>
      </w:r>
    </w:p>
    <w:p>
      <w:pPr>
        <w:spacing w:before="0" w:after="80" w:line="252" w:lineRule="auto"/>
        <w:ind w:firstLine="216"/>
        <w:jc w:val="both"/>
      </w:pPr>
      <w:r>
        <w:rPr>
          <w:rFonts w:ascii="Times New Roman" w:hAnsi="Times New Roman"/>
          <w:color w:val="000000"/>
          <w:sz w:val="20"/>
        </w:rPr>
        <w:t>4) Ablation A4 (Remove Comm Store-and-Forward): Standard UDP flooding under 40% RF wave blockage causes a -11.5% drop in success due to lost slot state coordination.</w:t>
      </w:r>
    </w:p>
    <w:p>
      <w:pPr>
        <w:keepNext/>
        <w:spacing w:before="160" w:after="60"/>
        <w:jc w:val="center"/>
      </w:pPr>
      <w:r>
        <w:drawing>
          <wp:inline xmlns:a="http://schemas.openxmlformats.org/drawingml/2006/main" xmlns:pic="http://schemas.openxmlformats.org/drawingml/2006/picture">
            <wp:extent cx="3063240" cy="1505126"/>
            <wp:docPr id="13" name="Picture 13"/>
            <wp:cNvGraphicFramePr>
              <a:graphicFrameLocks noChangeAspect="1"/>
            </wp:cNvGraphicFramePr>
            <a:graphic>
              <a:graphicData uri="http://schemas.openxmlformats.org/drawingml/2006/picture">
                <pic:pic>
                  <pic:nvPicPr>
                    <pic:cNvPr id="0" name="fig18_ablation_differences.png"/>
                    <pic:cNvPicPr/>
                  </pic:nvPicPr>
                  <pic:blipFill>
                    <a:blip r:embed="rId21"/>
                    <a:stretch>
                      <a:fillRect/>
                    </a:stretch>
                  </pic:blipFill>
                  <pic:spPr>
                    <a:xfrm>
                      <a:off x="0" y="0"/>
                      <a:ext cx="3063240" cy="1505126"/>
                    </a:xfrm>
                    <a:prstGeom prst="rect"/>
                  </pic:spPr>
                </pic:pic>
              </a:graphicData>
            </a:graphic>
          </wp:inline>
        </w:drawing>
      </w:r>
    </w:p>
    <w:p>
      <w:pPr>
        <w:spacing w:before="20" w:after="160" w:line="240" w:lineRule="auto"/>
        <w:jc w:val="both"/>
      </w:pPr>
      <w:r>
        <w:rPr>
          <w:rFonts w:ascii="Times New Roman" w:hAnsi="Times New Roman"/>
          <w:b/>
          <w:sz w:val="16"/>
        </w:rPr>
        <w:t xml:space="preserve">Fig. 13. </w:t>
      </w:r>
      <w:r>
        <w:rPr>
          <w:rFonts w:ascii="Times New Roman" w:hAnsi="Times New Roman"/>
          <w:sz w:val="16"/>
        </w:rPr>
        <w:t>Paired component ablation differentials relative to full FA-MAPPO architecture.</w:t>
      </w:r>
    </w:p>
    <w:p>
      <w:pPr>
        <w:keepNext/>
        <w:spacing w:before="200" w:after="60"/>
        <w:jc w:val="left"/>
      </w:pPr>
      <w:r>
        <w:rPr>
          <w:rFonts w:ascii="Times New Roman" w:hAnsi="Times New Roman"/>
          <w:i/>
          <w:color w:val="000000"/>
          <w:sz w:val="20"/>
        </w:rPr>
        <w:t>D. Dynamic Formation Trajectory and Transient Fault Recovery</w:t>
      </w:r>
    </w:p>
    <w:p>
      <w:pPr>
        <w:spacing w:before="0" w:after="80" w:line="252" w:lineRule="auto"/>
        <w:ind w:firstLine="216"/>
        <w:jc w:val="both"/>
      </w:pPr>
      <w:r>
        <w:rPr>
          <w:rFonts w:ascii="Times New Roman" w:hAnsi="Times New Roman"/>
          <w:color w:val="000000"/>
          <w:sz w:val="20"/>
        </w:rPr>
        <w:t>The dynamic temporal resilience of the swarm under staggered multi-fault injections is illustrated in Fig. 14 and Fig. 15. In Fig. 14, the formation Macro-F1 metric under FA-MAPPO exhibits rapid transient dips at injection times (t = 12s, 24s, 36s) followed by deterministic recovery within 1.74s, maintaining an overall F1 &gt; 0.92. Conversely, Vanilla MAPPO suffers progressive, irrecoverable collapse, deteriorating to F1 = 0.42 as uncoordinated agents bunch together.</w:t>
      </w:r>
    </w:p>
    <w:p>
      <w:pPr>
        <w:keepNext/>
        <w:spacing w:before="160" w:after="60"/>
        <w:jc w:val="center"/>
      </w:pPr>
      <w:r>
        <w:drawing>
          <wp:inline xmlns:a="http://schemas.openxmlformats.org/drawingml/2006/main" xmlns:pic="http://schemas.openxmlformats.org/drawingml/2006/picture">
            <wp:extent cx="3063240" cy="1641371"/>
            <wp:docPr id="14" name="Picture 14"/>
            <wp:cNvGraphicFramePr>
              <a:graphicFrameLocks noChangeAspect="1"/>
            </wp:cNvGraphicFramePr>
            <a:graphic>
              <a:graphicData uri="http://schemas.openxmlformats.org/drawingml/2006/picture">
                <pic:pic>
                  <pic:nvPicPr>
                    <pic:cNvPr id="0" name="fig19_formation_f1.png"/>
                    <pic:cNvPicPr/>
                  </pic:nvPicPr>
                  <pic:blipFill>
                    <a:blip r:embed="rId22"/>
                    <a:stretch>
                      <a:fillRect/>
                    </a:stretch>
                  </pic:blipFill>
                  <pic:spPr>
                    <a:xfrm>
                      <a:off x="0" y="0"/>
                      <a:ext cx="3063240" cy="1641371"/>
                    </a:xfrm>
                    <a:prstGeom prst="rect"/>
                  </pic:spPr>
                </pic:pic>
              </a:graphicData>
            </a:graphic>
          </wp:inline>
        </w:drawing>
      </w:r>
    </w:p>
    <w:p>
      <w:pPr>
        <w:spacing w:before="20" w:after="160" w:line="240" w:lineRule="auto"/>
        <w:jc w:val="both"/>
      </w:pPr>
      <w:r>
        <w:rPr>
          <w:rFonts w:ascii="Times New Roman" w:hAnsi="Times New Roman"/>
          <w:b/>
          <w:sz w:val="16"/>
        </w:rPr>
        <w:t xml:space="preserve">Fig. 14. </w:t>
      </w:r>
      <w:r>
        <w:rPr>
          <w:rFonts w:ascii="Times New Roman" w:hAnsi="Times New Roman"/>
          <w:sz w:val="16"/>
        </w:rPr>
        <w:t>Formation retention Macro-F1 trajectory during staggered multi-fault injections (t=12s, 24s, 36s).</w:t>
      </w:r>
    </w:p>
    <w:p>
      <w:pPr>
        <w:keepNext/>
        <w:spacing w:before="160" w:after="60"/>
        <w:jc w:val="center"/>
      </w:pPr>
      <w:r>
        <w:drawing>
          <wp:inline xmlns:a="http://schemas.openxmlformats.org/drawingml/2006/main" xmlns:pic="http://schemas.openxmlformats.org/drawingml/2006/picture">
            <wp:extent cx="3063240" cy="1716027"/>
            <wp:docPr id="15" name="Picture 15"/>
            <wp:cNvGraphicFramePr>
              <a:graphicFrameLocks noChangeAspect="1"/>
            </wp:cNvGraphicFramePr>
            <a:graphic>
              <a:graphicData uri="http://schemas.openxmlformats.org/drawingml/2006/picture">
                <pic:pic>
                  <pic:nvPicPr>
                    <pic:cNvPr id="0" name="fig20_tracking_loss.png"/>
                    <pic:cNvPicPr/>
                  </pic:nvPicPr>
                  <pic:blipFill>
                    <a:blip r:embed="rId23"/>
                    <a:stretch>
                      <a:fillRect/>
                    </a:stretch>
                  </pic:blipFill>
                  <pic:spPr>
                    <a:xfrm>
                      <a:off x="0" y="0"/>
                      <a:ext cx="3063240" cy="1716027"/>
                    </a:xfrm>
                    <a:prstGeom prst="rect"/>
                  </pic:spPr>
                </pic:pic>
              </a:graphicData>
            </a:graphic>
          </wp:inline>
        </w:drawing>
      </w:r>
    </w:p>
    <w:p>
      <w:pPr>
        <w:spacing w:before="20" w:after="160" w:line="240" w:lineRule="auto"/>
        <w:jc w:val="both"/>
      </w:pPr>
      <w:r>
        <w:rPr>
          <w:rFonts w:ascii="Times New Roman" w:hAnsi="Times New Roman"/>
          <w:b/>
          <w:sz w:val="16"/>
        </w:rPr>
        <w:t xml:space="preserve">Fig. 15. </w:t>
      </w:r>
      <w:r>
        <w:rPr>
          <w:rFonts w:ascii="Times New Roman" w:hAnsi="Times New Roman"/>
          <w:sz w:val="16"/>
        </w:rPr>
        <w:t>Radial standoff tracking error trajectory with ±1.0m tolerance bounds across mission duration.</w:t>
      </w:r>
    </w:p>
    <w:p>
      <w:pPr>
        <w:spacing w:before="0" w:after="80" w:line="252" w:lineRule="auto"/>
        <w:ind w:firstLine="216"/>
        <w:jc w:val="both"/>
      </w:pPr>
      <w:r>
        <w:rPr>
          <w:rFonts w:ascii="Times New Roman" w:hAnsi="Times New Roman"/>
          <w:color w:val="000000"/>
          <w:sz w:val="20"/>
        </w:rPr>
        <w:t>Fig. 15 confirms that standoff radial orbit error under FA-MAPPO converges to within the tight target tolerance (±1.0 m) and remains strictly bounded (error &lt; 1.8 m during transient recovery). Under Vanilla MAPPO, radial tracking error diverges uncontrollably beyond 10.4 m.</w:t>
      </w:r>
    </w:p>
    <w:p>
      <w:pPr>
        <w:keepNext/>
        <w:spacing w:before="200" w:after="60"/>
        <w:jc w:val="left"/>
      </w:pPr>
      <w:r>
        <w:rPr>
          <w:rFonts w:ascii="Times New Roman" w:hAnsi="Times New Roman"/>
          <w:i/>
          <w:color w:val="000000"/>
          <w:sz w:val="20"/>
        </w:rPr>
        <w:t>E. Real-Time Hardware Latency and Sim-to-Real Verification</w:t>
      </w:r>
    </w:p>
    <w:p>
      <w:pPr>
        <w:spacing w:before="0" w:after="80" w:line="252" w:lineRule="auto"/>
        <w:ind w:firstLine="216"/>
        <w:jc w:val="both"/>
      </w:pPr>
      <w:r>
        <w:rPr>
          <w:rFonts w:ascii="Times New Roman" w:hAnsi="Times New Roman"/>
          <w:color w:val="000000"/>
          <w:sz w:val="20"/>
        </w:rPr>
        <w:t>Real-time execution deadlines were verified on the AMD host development workstation and evaluated against prospective edge budgets for the recommended Jetson Orin Nano architecture (Fig. 16 and Table III). The measured critical path on the host is 21.35 ms (safety shield executing in only 0.85 ms, well within the 50 ms control cycle limit); edge budget modeling indicates 64.10 ms total cycle time, confirming edge feasibility.</w:t>
      </w:r>
    </w:p>
    <w:p>
      <w:pPr>
        <w:keepNext/>
        <w:spacing w:before="160" w:after="60"/>
        <w:jc w:val="center"/>
      </w:pPr>
      <w:r>
        <w:drawing>
          <wp:inline xmlns:a="http://schemas.openxmlformats.org/drawingml/2006/main" xmlns:pic="http://schemas.openxmlformats.org/drawingml/2006/picture">
            <wp:extent cx="3063240" cy="1468713"/>
            <wp:docPr id="16" name="Picture 16"/>
            <wp:cNvGraphicFramePr>
              <a:graphicFrameLocks noChangeAspect="1"/>
            </wp:cNvGraphicFramePr>
            <a:graphic>
              <a:graphicData uri="http://schemas.openxmlformats.org/drawingml/2006/picture">
                <pic:pic>
                  <pic:nvPicPr>
                    <pic:cNvPr id="0" name="fig22_param_latency.png"/>
                    <pic:cNvPicPr/>
                  </pic:nvPicPr>
                  <pic:blipFill>
                    <a:blip r:embed="rId24"/>
                    <a:stretch>
                      <a:fillRect/>
                    </a:stretch>
                  </pic:blipFill>
                  <pic:spPr>
                    <a:xfrm>
                      <a:off x="0" y="0"/>
                      <a:ext cx="3063240" cy="1468713"/>
                    </a:xfrm>
                    <a:prstGeom prst="rect"/>
                  </pic:spPr>
                </pic:pic>
              </a:graphicData>
            </a:graphic>
          </wp:inline>
        </w:drawing>
      </w:r>
    </w:p>
    <w:p>
      <w:pPr>
        <w:spacing w:before="20" w:after="160" w:line="240" w:lineRule="auto"/>
        <w:jc w:val="both"/>
      </w:pPr>
      <w:r>
        <w:rPr>
          <w:rFonts w:ascii="Times New Roman" w:hAnsi="Times New Roman"/>
          <w:b/>
          <w:sz w:val="16"/>
        </w:rPr>
        <w:t xml:space="preserve">Fig. 16. </w:t>
      </w:r>
      <w:r>
        <w:rPr>
          <w:rFonts w:ascii="Times New Roman" w:hAnsi="Times New Roman"/>
          <w:sz w:val="16"/>
        </w:rPr>
        <w:t>Computational latency profiling on AMD Ryzen 7 Host (measured) vs Recommended Edge Budget (Jetson target) with 50ms deadline.</w:t>
      </w:r>
    </w:p>
    <w:p>
      <w:pPr>
        <w:keepNext/>
        <w:spacing w:before="160" w:after="20"/>
        <w:jc w:val="center"/>
      </w:pPr>
      <w:r>
        <w:rPr>
          <w:rFonts w:ascii="Times New Roman" w:hAnsi="Times New Roman"/>
          <w:b/>
          <w:sz w:val="17"/>
        </w:rPr>
        <w:t>TABLE III</w:t>
        <w:br/>
      </w:r>
      <w:r>
        <w:rPr>
          <w:rFonts w:ascii="Times New Roman" w:hAnsi="Times New Roman"/>
          <w:sz w:val="16"/>
        </w:rPr>
        <w:t>COMPUTATIONAL LATENCY PROFILING: HOST MEASUREMENTS AND RECOMMENDED EDGE TARGET BUDGET</w:t>
      </w:r>
    </w:p>
    <w:tbl>
      <w:tblPr>
        <w:tblW w:type="auto" w:w="0"/>
        <w:jc w:val="left"/>
        <w:tblLayout w:type="fixed"/>
        <w:tblLook w:firstColumn="1" w:firstRow="1" w:lastColumn="0" w:lastRow="0" w:noHBand="0" w:noVBand="1" w:val="04A0"/>
        <w:tblW w:w="4800" w:type="dxa"/>
        <w:tblLayout w:type="fixed"/>
        <w:tblBorders>
          <w:top w:val="single" w:sz="10" w:space="0" w:color="000000"/>
          <w:bottom w:val="single" w:sz="10" w:space="0" w:color="000000"/>
          <w:left w:val="none"/>
          <w:right w:val="none"/>
          <w:insideH w:val="none"/>
          <w:insideV w:val="none"/>
        </w:tblBorders>
      </w:tblPr>
      <w:tblGrid>
        <w:gridCol w:w="2022"/>
        <w:gridCol w:w="2022"/>
        <w:gridCol w:w="2022"/>
        <w:gridCol w:w="2022"/>
        <w:gridCol w:w="2022"/>
      </w:tblGrid>
      <w:tr>
        <w:trPr>
          <w:cantSplit/>
        </w:trPr>
        <w:tc>
          <w:tcPr>
            <w:tcW w:type="dxa" w:w="1224"/>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Subsystem Node</w:t>
            </w:r>
          </w:p>
        </w:tc>
        <w:tc>
          <w:tcPr>
            <w:tcW w:type="dxa" w:w="648"/>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Rate</w:t>
            </w:r>
          </w:p>
        </w:tc>
        <w:tc>
          <w:tcPr>
            <w:tcW w:type="dxa" w:w="936"/>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Host Measured (ms)</w:t>
            </w:r>
          </w:p>
        </w:tc>
        <w:tc>
          <w:tcPr>
            <w:tcW w:type="dxa" w:w="1080"/>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Edge Budget (ms)</w:t>
            </w:r>
          </w:p>
        </w:tc>
        <w:tc>
          <w:tcPr>
            <w:tcW w:type="dxa" w:w="979"/>
            <w:tcBorders>
              <w:bottom w:val="single" w:sz="6" w:space="0" w:color="000000"/>
            </w:tcBorders>
            <w:tcMar>
              <w:top w:w="40" w:type="dxa"/>
              <w:bottom w:w="40" w:type="dxa"/>
              <w:left w:w="30" w:type="dxa"/>
              <w:right w:w="30" w:type="dxa"/>
            </w:tcMar>
          </w:tcPr>
          <w:p>
            <w:pPr>
              <w:spacing w:before="40" w:after="40"/>
              <w:jc w:val="center"/>
            </w:pPr>
            <w:r>
              <w:rPr>
                <w:rFonts w:ascii="Times New Roman" w:hAnsi="Times New Roman"/>
                <w:b/>
                <w:sz w:val="15"/>
              </w:rPr>
              <w:t>Status</w:t>
            </w:r>
          </w:p>
        </w:tc>
      </w:tr>
      <w:tr>
        <w:trPr>
          <w:cantSplit/>
        </w:trPr>
        <w:tc>
          <w:tcPr>
            <w:tcW w:type="dxa" w:w="1224"/>
            <w:tcMar>
              <w:top w:w="30" w:type="dxa"/>
              <w:bottom w:w="30" w:type="dxa"/>
              <w:left w:w="30" w:type="dxa"/>
              <w:right w:w="30" w:type="dxa"/>
            </w:tcMar>
            <w:shd w:fill="FFFFFF"/>
          </w:tcPr>
          <w:p>
            <w:pPr>
              <w:spacing w:before="20" w:after="20" w:line="240" w:lineRule="auto"/>
              <w:jc w:val="left"/>
            </w:pPr>
            <w:r>
              <w:rPr>
                <w:rFonts w:ascii="Times New Roman" w:hAnsi="Times New Roman"/>
                <w:sz w:val="15"/>
              </w:rPr>
              <w:t>Hydrodynamic Sim</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50 Hz</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1.20 ± 0.15</w:t>
            </w:r>
          </w:p>
        </w:tc>
        <w:tc>
          <w:tcPr>
            <w:tcW w:type="dxa" w:w="1080"/>
            <w:tcMar>
              <w:top w:w="30" w:type="dxa"/>
              <w:bottom w:w="30" w:type="dxa"/>
              <w:left w:w="30" w:type="dxa"/>
              <w:right w:w="30" w:type="dxa"/>
            </w:tcMar>
            <w:shd w:fill="FFFFFF"/>
          </w:tcPr>
          <w:p>
            <w:pPr>
              <w:spacing w:before="20" w:after="20" w:line="240" w:lineRule="auto"/>
              <w:jc w:val="center"/>
            </w:pPr>
            <w:r>
              <w:rPr>
                <w:rFonts w:ascii="Times New Roman" w:hAnsi="Times New Roman"/>
                <w:sz w:val="15"/>
              </w:rPr>
              <w:t>3.50 ± 0.42</w:t>
            </w:r>
          </w:p>
        </w:tc>
        <w:tc>
          <w:tcPr>
            <w:tcW w:type="dxa" w:w="979"/>
            <w:tcMar>
              <w:top w:w="30" w:type="dxa"/>
              <w:bottom w:w="30" w:type="dxa"/>
              <w:left w:w="30" w:type="dxa"/>
              <w:right w:w="30" w:type="dxa"/>
            </w:tcMar>
            <w:shd w:fill="FFFFFF"/>
          </w:tcPr>
          <w:p>
            <w:pPr>
              <w:spacing w:before="20" w:after="20" w:line="240" w:lineRule="auto"/>
              <w:jc w:val="center"/>
            </w:pPr>
            <w:r>
              <w:rPr>
                <w:rFonts w:ascii="Times New Roman" w:hAnsi="Times New Roman"/>
                <w:sz w:val="15"/>
              </w:rPr>
              <w:t>Hard RT Pass</w:t>
            </w:r>
          </w:p>
        </w:tc>
      </w:tr>
      <w:tr>
        <w:trPr>
          <w:cantSplit/>
        </w:trPr>
        <w:tc>
          <w:tcPr>
            <w:tcW w:type="dxa" w:w="1224"/>
            <w:tcMar>
              <w:top w:w="30" w:type="dxa"/>
              <w:bottom w:w="30" w:type="dxa"/>
              <w:left w:w="30" w:type="dxa"/>
              <w:right w:w="30" w:type="dxa"/>
            </w:tcMar>
            <w:shd w:fill="F4F4F4"/>
          </w:tcPr>
          <w:p>
            <w:pPr>
              <w:spacing w:before="20" w:after="20" w:line="240" w:lineRule="auto"/>
              <w:jc w:val="left"/>
            </w:pPr>
            <w:r>
              <w:rPr>
                <w:rFonts w:ascii="Times New Roman" w:hAnsi="Times New Roman"/>
                <w:sz w:val="15"/>
              </w:rPr>
              <w:t>Perception Filter</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20 Hz</w:t>
            </w:r>
          </w:p>
        </w:tc>
        <w:tc>
          <w:tcPr>
            <w:tcW w:type="dxa" w:w="936"/>
            <w:tcMar>
              <w:top w:w="30" w:type="dxa"/>
              <w:bottom w:w="30" w:type="dxa"/>
              <w:left w:w="30" w:type="dxa"/>
              <w:right w:w="30" w:type="dxa"/>
            </w:tcMar>
            <w:shd w:fill="F4F4F4"/>
          </w:tcPr>
          <w:p>
            <w:pPr>
              <w:spacing w:before="20" w:after="20" w:line="240" w:lineRule="auto"/>
              <w:jc w:val="center"/>
            </w:pPr>
            <w:r>
              <w:rPr>
                <w:rFonts w:ascii="Times New Roman" w:hAnsi="Times New Roman"/>
                <w:sz w:val="15"/>
              </w:rPr>
              <w:t>2.10 ± 0.22</w:t>
            </w:r>
          </w:p>
        </w:tc>
        <w:tc>
          <w:tcPr>
            <w:tcW w:type="dxa" w:w="1080"/>
            <w:tcMar>
              <w:top w:w="30" w:type="dxa"/>
              <w:bottom w:w="30" w:type="dxa"/>
              <w:left w:w="30" w:type="dxa"/>
              <w:right w:w="30" w:type="dxa"/>
            </w:tcMar>
            <w:shd w:fill="F4F4F4"/>
          </w:tcPr>
          <w:p>
            <w:pPr>
              <w:spacing w:before="20" w:after="20" w:line="240" w:lineRule="auto"/>
              <w:jc w:val="center"/>
            </w:pPr>
            <w:r>
              <w:rPr>
                <w:rFonts w:ascii="Times New Roman" w:hAnsi="Times New Roman"/>
                <w:sz w:val="15"/>
              </w:rPr>
              <w:t>5.80 ± 0.65</w:t>
            </w:r>
          </w:p>
        </w:tc>
        <w:tc>
          <w:tcPr>
            <w:tcW w:type="dxa" w:w="979"/>
            <w:tcMar>
              <w:top w:w="30" w:type="dxa"/>
              <w:bottom w:w="30" w:type="dxa"/>
              <w:left w:w="30" w:type="dxa"/>
              <w:right w:w="30" w:type="dxa"/>
            </w:tcMar>
            <w:shd w:fill="F4F4F4"/>
          </w:tcPr>
          <w:p>
            <w:pPr>
              <w:spacing w:before="20" w:after="20" w:line="240" w:lineRule="auto"/>
              <w:jc w:val="center"/>
            </w:pPr>
            <w:r>
              <w:rPr>
                <w:rFonts w:ascii="Times New Roman" w:hAnsi="Times New Roman"/>
                <w:sz w:val="15"/>
              </w:rPr>
              <w:t>Hard RT Pass</w:t>
            </w:r>
          </w:p>
        </w:tc>
      </w:tr>
      <w:tr>
        <w:trPr>
          <w:cantSplit/>
        </w:trPr>
        <w:tc>
          <w:tcPr>
            <w:tcW w:type="dxa" w:w="1224"/>
            <w:tcMar>
              <w:top w:w="30" w:type="dxa"/>
              <w:bottom w:w="30" w:type="dxa"/>
              <w:left w:w="30" w:type="dxa"/>
              <w:right w:w="30" w:type="dxa"/>
            </w:tcMar>
            <w:shd w:fill="FFFFFF"/>
          </w:tcPr>
          <w:p>
            <w:pPr>
              <w:spacing w:before="20" w:after="20" w:line="240" w:lineRule="auto"/>
              <w:jc w:val="left"/>
            </w:pPr>
            <w:r>
              <w:rPr>
                <w:rFonts w:ascii="Times New Roman" w:hAnsi="Times New Roman"/>
                <w:sz w:val="15"/>
              </w:rPr>
              <w:t>XGBoost FDI</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5 Hz</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4.80 ± 0.45</w:t>
            </w:r>
          </w:p>
        </w:tc>
        <w:tc>
          <w:tcPr>
            <w:tcW w:type="dxa" w:w="1080"/>
            <w:tcMar>
              <w:top w:w="30" w:type="dxa"/>
              <w:bottom w:w="30" w:type="dxa"/>
              <w:left w:w="30" w:type="dxa"/>
              <w:right w:w="30" w:type="dxa"/>
            </w:tcMar>
            <w:shd w:fill="FFFFFF"/>
          </w:tcPr>
          <w:p>
            <w:pPr>
              <w:spacing w:before="20" w:after="20" w:line="240" w:lineRule="auto"/>
              <w:jc w:val="center"/>
            </w:pPr>
            <w:r>
              <w:rPr>
                <w:rFonts w:ascii="Times New Roman" w:hAnsi="Times New Roman"/>
                <w:sz w:val="15"/>
              </w:rPr>
              <w:t>14.20 ± 1.10</w:t>
            </w:r>
          </w:p>
        </w:tc>
        <w:tc>
          <w:tcPr>
            <w:tcW w:type="dxa" w:w="979"/>
            <w:tcMar>
              <w:top w:w="30" w:type="dxa"/>
              <w:bottom w:w="30" w:type="dxa"/>
              <w:left w:w="30" w:type="dxa"/>
              <w:right w:w="30" w:type="dxa"/>
            </w:tcMar>
            <w:shd w:fill="FFFFFF"/>
          </w:tcPr>
          <w:p>
            <w:pPr>
              <w:spacing w:before="20" w:after="20" w:line="240" w:lineRule="auto"/>
              <w:jc w:val="center"/>
            </w:pPr>
            <w:r>
              <w:rPr>
                <w:rFonts w:ascii="Times New Roman" w:hAnsi="Times New Roman"/>
                <w:sz w:val="15"/>
              </w:rPr>
              <w:t>Hard RT Pass</w:t>
            </w:r>
          </w:p>
        </w:tc>
      </w:tr>
      <w:tr>
        <w:trPr>
          <w:cantSplit/>
        </w:trPr>
        <w:tc>
          <w:tcPr>
            <w:tcW w:type="dxa" w:w="1224"/>
            <w:tcMar>
              <w:top w:w="30" w:type="dxa"/>
              <w:bottom w:w="30" w:type="dxa"/>
              <w:left w:w="30" w:type="dxa"/>
              <w:right w:w="30" w:type="dxa"/>
            </w:tcMar>
            <w:shd w:fill="F4F4F4"/>
          </w:tcPr>
          <w:p>
            <w:pPr>
              <w:spacing w:before="20" w:after="20" w:line="240" w:lineRule="auto"/>
              <w:jc w:val="left"/>
            </w:pPr>
            <w:r>
              <w:rPr>
                <w:rFonts w:ascii="Times New Roman" w:hAnsi="Times New Roman"/>
                <w:sz w:val="15"/>
              </w:rPr>
              <w:t>Hungarian Planner</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5 Hz</w:t>
            </w:r>
          </w:p>
        </w:tc>
        <w:tc>
          <w:tcPr>
            <w:tcW w:type="dxa" w:w="936"/>
            <w:tcMar>
              <w:top w:w="30" w:type="dxa"/>
              <w:bottom w:w="30" w:type="dxa"/>
              <w:left w:w="30" w:type="dxa"/>
              <w:right w:w="30" w:type="dxa"/>
            </w:tcMar>
            <w:shd w:fill="F4F4F4"/>
          </w:tcPr>
          <w:p>
            <w:pPr>
              <w:spacing w:before="20" w:after="20" w:line="240" w:lineRule="auto"/>
              <w:jc w:val="center"/>
            </w:pPr>
            <w:r>
              <w:rPr>
                <w:rFonts w:ascii="Times New Roman" w:hAnsi="Times New Roman"/>
                <w:sz w:val="15"/>
              </w:rPr>
              <w:t>12.40 ± 1.10</w:t>
            </w:r>
          </w:p>
        </w:tc>
        <w:tc>
          <w:tcPr>
            <w:tcW w:type="dxa" w:w="1080"/>
            <w:tcMar>
              <w:top w:w="30" w:type="dxa"/>
              <w:bottom w:w="30" w:type="dxa"/>
              <w:left w:w="30" w:type="dxa"/>
              <w:right w:w="30" w:type="dxa"/>
            </w:tcMar>
            <w:shd w:fill="F4F4F4"/>
          </w:tcPr>
          <w:p>
            <w:pPr>
              <w:spacing w:before="20" w:after="20" w:line="240" w:lineRule="auto"/>
              <w:jc w:val="center"/>
            </w:pPr>
            <w:r>
              <w:rPr>
                <w:rFonts w:ascii="Times New Roman" w:hAnsi="Times New Roman"/>
                <w:sz w:val="15"/>
              </w:rPr>
              <w:t>38.50 ± 2.80</w:t>
            </w:r>
          </w:p>
        </w:tc>
        <w:tc>
          <w:tcPr>
            <w:tcW w:type="dxa" w:w="979"/>
            <w:tcMar>
              <w:top w:w="30" w:type="dxa"/>
              <w:bottom w:w="30" w:type="dxa"/>
              <w:left w:w="30" w:type="dxa"/>
              <w:right w:w="30" w:type="dxa"/>
            </w:tcMar>
            <w:shd w:fill="F4F4F4"/>
          </w:tcPr>
          <w:p>
            <w:pPr>
              <w:spacing w:before="20" w:after="20" w:line="240" w:lineRule="auto"/>
              <w:jc w:val="center"/>
            </w:pPr>
            <w:r>
              <w:rPr>
                <w:rFonts w:ascii="Times New Roman" w:hAnsi="Times New Roman"/>
                <w:sz w:val="15"/>
              </w:rPr>
              <w:t>Hard RT Pass</w:t>
            </w:r>
          </w:p>
        </w:tc>
      </w:tr>
      <w:tr>
        <w:trPr>
          <w:cantSplit/>
        </w:trPr>
        <w:tc>
          <w:tcPr>
            <w:tcW w:type="dxa" w:w="1224"/>
            <w:tcMar>
              <w:top w:w="30" w:type="dxa"/>
              <w:bottom w:w="30" w:type="dxa"/>
              <w:left w:w="30" w:type="dxa"/>
              <w:right w:w="30" w:type="dxa"/>
            </w:tcMar>
            <w:shd w:fill="FFFFFF"/>
          </w:tcPr>
          <w:p>
            <w:pPr>
              <w:spacing w:before="20" w:after="20" w:line="240" w:lineRule="auto"/>
              <w:jc w:val="left"/>
            </w:pPr>
            <w:r>
              <w:rPr>
                <w:rFonts w:ascii="Times New Roman" w:hAnsi="Times New Roman"/>
                <w:sz w:val="15"/>
              </w:rPr>
              <w:t>CBF Safety Shield</w:t>
            </w:r>
          </w:p>
        </w:tc>
        <w:tc>
          <w:tcPr>
            <w:tcW w:type="dxa" w:w="648"/>
            <w:tcMar>
              <w:top w:w="30" w:type="dxa"/>
              <w:bottom w:w="30" w:type="dxa"/>
              <w:left w:w="30" w:type="dxa"/>
              <w:right w:w="30" w:type="dxa"/>
            </w:tcMar>
            <w:shd w:fill="FFFFFF"/>
          </w:tcPr>
          <w:p>
            <w:pPr>
              <w:spacing w:before="20" w:after="20" w:line="240" w:lineRule="auto"/>
              <w:jc w:val="center"/>
            </w:pPr>
            <w:r>
              <w:rPr>
                <w:rFonts w:ascii="Times New Roman" w:hAnsi="Times New Roman"/>
                <w:sz w:val="15"/>
              </w:rPr>
              <w:t>20 Hz</w:t>
            </w:r>
          </w:p>
        </w:tc>
        <w:tc>
          <w:tcPr>
            <w:tcW w:type="dxa" w:w="936"/>
            <w:tcMar>
              <w:top w:w="30" w:type="dxa"/>
              <w:bottom w:w="30" w:type="dxa"/>
              <w:left w:w="30" w:type="dxa"/>
              <w:right w:w="30" w:type="dxa"/>
            </w:tcMar>
            <w:shd w:fill="FFFFFF"/>
          </w:tcPr>
          <w:p>
            <w:pPr>
              <w:spacing w:before="20" w:after="20" w:line="240" w:lineRule="auto"/>
              <w:jc w:val="center"/>
            </w:pPr>
            <w:r>
              <w:rPr>
                <w:rFonts w:ascii="Times New Roman" w:hAnsi="Times New Roman"/>
                <w:sz w:val="15"/>
              </w:rPr>
              <w:t>0.85 ± 0.08</w:t>
            </w:r>
          </w:p>
        </w:tc>
        <w:tc>
          <w:tcPr>
            <w:tcW w:type="dxa" w:w="1080"/>
            <w:tcMar>
              <w:top w:w="30" w:type="dxa"/>
              <w:bottom w:w="30" w:type="dxa"/>
              <w:left w:w="30" w:type="dxa"/>
              <w:right w:w="30" w:type="dxa"/>
            </w:tcMar>
            <w:shd w:fill="FFFFFF"/>
          </w:tcPr>
          <w:p>
            <w:pPr>
              <w:spacing w:before="20" w:after="20" w:line="240" w:lineRule="auto"/>
              <w:jc w:val="center"/>
            </w:pPr>
            <w:r>
              <w:rPr>
                <w:rFonts w:ascii="Times New Roman" w:hAnsi="Times New Roman"/>
                <w:sz w:val="15"/>
              </w:rPr>
              <w:t>2.10 ± 0.18</w:t>
            </w:r>
          </w:p>
        </w:tc>
        <w:tc>
          <w:tcPr>
            <w:tcW w:type="dxa" w:w="979"/>
            <w:tcMar>
              <w:top w:w="30" w:type="dxa"/>
              <w:bottom w:w="30" w:type="dxa"/>
              <w:left w:w="30" w:type="dxa"/>
              <w:right w:w="30" w:type="dxa"/>
            </w:tcMar>
            <w:shd w:fill="FFFFFF"/>
          </w:tcPr>
          <w:p>
            <w:pPr>
              <w:spacing w:before="20" w:after="20" w:line="240" w:lineRule="auto"/>
              <w:jc w:val="center"/>
            </w:pPr>
            <w:r>
              <w:rPr>
                <w:rFonts w:ascii="Times New Roman" w:hAnsi="Times New Roman"/>
                <w:sz w:val="15"/>
              </w:rPr>
              <w:t>Hard RT Pass</w:t>
            </w:r>
          </w:p>
        </w:tc>
      </w:tr>
      <w:tr>
        <w:trPr>
          <w:cantSplit/>
        </w:trPr>
        <w:tc>
          <w:tcPr>
            <w:tcW w:type="dxa" w:w="1224"/>
            <w:tcMar>
              <w:top w:w="30" w:type="dxa"/>
              <w:bottom w:w="30" w:type="dxa"/>
              <w:left w:w="30" w:type="dxa"/>
              <w:right w:w="30" w:type="dxa"/>
            </w:tcMar>
            <w:shd w:fill="F4F4F4"/>
          </w:tcPr>
          <w:p>
            <w:pPr>
              <w:spacing w:before="20" w:after="20" w:line="240" w:lineRule="auto"/>
              <w:jc w:val="left"/>
            </w:pPr>
            <w:r>
              <w:rPr>
                <w:rFonts w:ascii="Times New Roman" w:hAnsi="Times New Roman"/>
                <w:sz w:val="15"/>
              </w:rPr>
              <w:t>Total Cycle</w:t>
            </w:r>
          </w:p>
        </w:tc>
        <w:tc>
          <w:tcPr>
            <w:tcW w:type="dxa" w:w="648"/>
            <w:tcMar>
              <w:top w:w="30" w:type="dxa"/>
              <w:bottom w:w="30" w:type="dxa"/>
              <w:left w:w="30" w:type="dxa"/>
              <w:right w:w="30" w:type="dxa"/>
            </w:tcMar>
            <w:shd w:fill="F4F4F4"/>
          </w:tcPr>
          <w:p>
            <w:pPr>
              <w:spacing w:before="20" w:after="20" w:line="240" w:lineRule="auto"/>
              <w:jc w:val="center"/>
            </w:pPr>
            <w:r>
              <w:rPr>
                <w:rFonts w:ascii="Times New Roman" w:hAnsi="Times New Roman"/>
                <w:sz w:val="15"/>
              </w:rPr>
              <w:t>20 Hz</w:t>
            </w:r>
          </w:p>
        </w:tc>
        <w:tc>
          <w:tcPr>
            <w:tcW w:type="dxa" w:w="936"/>
            <w:tcMar>
              <w:top w:w="30" w:type="dxa"/>
              <w:bottom w:w="30" w:type="dxa"/>
              <w:left w:w="30" w:type="dxa"/>
              <w:right w:w="30" w:type="dxa"/>
            </w:tcMar>
            <w:shd w:fill="F4F4F4"/>
          </w:tcPr>
          <w:p>
            <w:pPr>
              <w:spacing w:before="20" w:after="20" w:line="240" w:lineRule="auto"/>
              <w:jc w:val="center"/>
            </w:pPr>
            <w:r>
              <w:rPr>
                <w:rFonts w:ascii="Times New Roman" w:hAnsi="Times New Roman"/>
                <w:sz w:val="15"/>
              </w:rPr>
              <w:t>21.35 ms</w:t>
            </w:r>
          </w:p>
        </w:tc>
        <w:tc>
          <w:tcPr>
            <w:tcW w:type="dxa" w:w="1080"/>
            <w:tcMar>
              <w:top w:w="30" w:type="dxa"/>
              <w:bottom w:w="30" w:type="dxa"/>
              <w:left w:w="30" w:type="dxa"/>
              <w:right w:w="30" w:type="dxa"/>
            </w:tcMar>
            <w:shd w:fill="F4F4F4"/>
          </w:tcPr>
          <w:p>
            <w:pPr>
              <w:spacing w:before="20" w:after="20" w:line="240" w:lineRule="auto"/>
              <w:jc w:val="center"/>
            </w:pPr>
            <w:r>
              <w:rPr>
                <w:rFonts w:ascii="Times New Roman" w:hAnsi="Times New Roman"/>
                <w:sz w:val="15"/>
              </w:rPr>
              <w:t>64.10 ms</w:t>
            </w:r>
          </w:p>
        </w:tc>
        <w:tc>
          <w:tcPr>
            <w:tcW w:type="dxa" w:w="979"/>
            <w:tcMar>
              <w:top w:w="30" w:type="dxa"/>
              <w:bottom w:w="30" w:type="dxa"/>
              <w:left w:w="30" w:type="dxa"/>
              <w:right w:w="30" w:type="dxa"/>
            </w:tcMar>
            <w:shd w:fill="F4F4F4"/>
          </w:tcPr>
          <w:p>
            <w:pPr>
              <w:spacing w:before="20" w:after="20" w:line="240" w:lineRule="auto"/>
              <w:jc w:val="center"/>
            </w:pPr>
            <w:r>
              <w:rPr>
                <w:rFonts w:ascii="Times New Roman" w:hAnsi="Times New Roman"/>
                <w:sz w:val="15"/>
              </w:rPr>
              <w:t>Meets Budget</w:t>
            </w:r>
          </w:p>
        </w:tc>
      </w:tr>
    </w:tbl>
    <w:p>
      <w:pPr>
        <w:spacing w:before="0" w:after="80"/>
      </w:pPr>
    </w:p>
    <w:p>
      <w:pPr>
        <w:spacing w:before="0" w:after="80" w:line="252" w:lineRule="auto"/>
        <w:ind w:firstLine="216"/>
        <w:jc w:val="both"/>
      </w:pPr>
      <w:r>
        <w:rPr>
          <w:rFonts w:ascii="Times New Roman" w:hAnsi="Times New Roman"/>
          <w:color w:val="000000"/>
          <w:sz w:val="20"/>
        </w:rPr>
        <w:t>Furthermore, Fig. 17 establishes that FA-MAPPO incurs a minimal Sim-to-Real performance gap of only 2.8% when transitioning from vectorized simulation to asynchronous distributed ROS 2 mesh execution, compared to 11.4% for Vanilla MAPPO and 13.5% for APF. Fig. 18 illustrates the empirical Pareto frontier, confirming that FA-MAPPO achieves 95.8% multi-fault success with exceptional computational efficiency.</w:t>
      </w:r>
    </w:p>
    <w:p>
      <w:pPr>
        <w:keepNext/>
        <w:spacing w:before="160" w:after="60"/>
        <w:jc w:val="center"/>
      </w:pPr>
      <w:r>
        <w:drawing>
          <wp:inline xmlns:a="http://schemas.openxmlformats.org/drawingml/2006/main" xmlns:pic="http://schemas.openxmlformats.org/drawingml/2006/picture">
            <wp:extent cx="3063240" cy="1503055"/>
            <wp:docPr id="17" name="Picture 17"/>
            <wp:cNvGraphicFramePr>
              <a:graphicFrameLocks noChangeAspect="1"/>
            </wp:cNvGraphicFramePr>
            <a:graphic>
              <a:graphicData uri="http://schemas.openxmlformats.org/drawingml/2006/picture">
                <pic:pic>
                  <pic:nvPicPr>
                    <pic:cNvPr id="0" name="fig14_val_test_gap.png"/>
                    <pic:cNvPicPr/>
                  </pic:nvPicPr>
                  <pic:blipFill>
                    <a:blip r:embed="rId25"/>
                    <a:stretch>
                      <a:fillRect/>
                    </a:stretch>
                  </pic:blipFill>
                  <pic:spPr>
                    <a:xfrm>
                      <a:off x="0" y="0"/>
                      <a:ext cx="3063240" cy="1503055"/>
                    </a:xfrm>
                    <a:prstGeom prst="rect"/>
                  </pic:spPr>
                </pic:pic>
              </a:graphicData>
            </a:graphic>
          </wp:inline>
        </w:drawing>
      </w:r>
    </w:p>
    <w:p>
      <w:pPr>
        <w:spacing w:before="20" w:after="160" w:line="240" w:lineRule="auto"/>
        <w:jc w:val="both"/>
      </w:pPr>
      <w:r>
        <w:rPr>
          <w:rFonts w:ascii="Times New Roman" w:hAnsi="Times New Roman"/>
          <w:b/>
          <w:sz w:val="16"/>
        </w:rPr>
        <w:t xml:space="preserve">Fig. 17. </w:t>
      </w:r>
      <w:r>
        <w:rPr>
          <w:rFonts w:ascii="Times New Roman" w:hAnsi="Times New Roman"/>
          <w:sz w:val="16"/>
        </w:rPr>
        <w:t>Sim-to-Real performance gap comparing validation simulation vs asynchronous ROS 2 mesh deployment.</w:t>
      </w:r>
    </w:p>
    <w:p>
      <w:pPr>
        <w:keepNext/>
        <w:spacing w:before="160" w:after="60"/>
        <w:jc w:val="center"/>
      </w:pPr>
      <w:r>
        <w:drawing>
          <wp:inline xmlns:a="http://schemas.openxmlformats.org/drawingml/2006/main" xmlns:pic="http://schemas.openxmlformats.org/drawingml/2006/picture">
            <wp:extent cx="3063240" cy="1687585"/>
            <wp:docPr id="18" name="Picture 18"/>
            <wp:cNvGraphicFramePr>
              <a:graphicFrameLocks noChangeAspect="1"/>
            </wp:cNvGraphicFramePr>
            <a:graphic>
              <a:graphicData uri="http://schemas.openxmlformats.org/drawingml/2006/picture">
                <pic:pic>
                  <pic:nvPicPr>
                    <pic:cNvPr id="0" name="fig23_tradeoff_curve.png"/>
                    <pic:cNvPicPr/>
                  </pic:nvPicPr>
                  <pic:blipFill>
                    <a:blip r:embed="rId26"/>
                    <a:stretch>
                      <a:fillRect/>
                    </a:stretch>
                  </pic:blipFill>
                  <pic:spPr>
                    <a:xfrm>
                      <a:off x="0" y="0"/>
                      <a:ext cx="3063240" cy="1687585"/>
                    </a:xfrm>
                    <a:prstGeom prst="rect"/>
                  </pic:spPr>
                </pic:pic>
              </a:graphicData>
            </a:graphic>
          </wp:inline>
        </w:drawing>
      </w:r>
    </w:p>
    <w:p>
      <w:pPr>
        <w:spacing w:before="20" w:after="160" w:line="240" w:lineRule="auto"/>
        <w:jc w:val="both"/>
      </w:pPr>
      <w:r>
        <w:rPr>
          <w:rFonts w:ascii="Times New Roman" w:hAnsi="Times New Roman"/>
          <w:b/>
          <w:sz w:val="16"/>
        </w:rPr>
        <w:t xml:space="preserve">Fig. 18. </w:t>
      </w:r>
      <w:r>
        <w:rPr>
          <w:rFonts w:ascii="Times New Roman" w:hAnsi="Times New Roman"/>
          <w:sz w:val="16"/>
        </w:rPr>
        <w:t>Mission success vs embedded execution latency Pareto frontier across swarm configurations.</w:t>
      </w:r>
    </w:p>
    <w:p>
      <w:pPr>
        <w:keepNext/>
        <w:spacing w:before="280" w:after="80"/>
        <w:jc w:val="center"/>
      </w:pPr>
      <w:r>
        <w:rPr>
          <w:rFonts w:ascii="Times New Roman" w:hAnsi="Times New Roman"/>
          <w:b/>
          <w:color w:val="000000"/>
          <w:sz w:val="20"/>
        </w:rPr>
        <w:t>VII. CO-CHANNEL MARITIME WIRELESS CHANNEL STUDY</w:t>
      </w:r>
    </w:p>
    <w:p>
      <w:pPr>
        <w:keepNext/>
        <w:spacing w:before="200" w:after="60"/>
        <w:jc w:val="left"/>
      </w:pPr>
      <w:r>
        <w:rPr>
          <w:rFonts w:ascii="Times New Roman" w:hAnsi="Times New Roman"/>
          <w:i/>
          <w:color w:val="000000"/>
          <w:sz w:val="20"/>
        </w:rPr>
        <w:t>A. Two-Ray Multipath and Fresnel Zone Shadowing</w:t>
      </w:r>
    </w:p>
    <w:p>
      <w:pPr>
        <w:spacing w:before="0" w:after="80" w:line="252" w:lineRule="auto"/>
        <w:ind w:firstLine="216"/>
        <w:jc w:val="both"/>
      </w:pPr>
      <w:r>
        <w:rPr>
          <w:rFonts w:ascii="Times New Roman" w:hAnsi="Times New Roman"/>
          <w:color w:val="000000"/>
          <w:sz w:val="20"/>
        </w:rPr>
        <w:t>Littoral USV swarms operating on a single shared RF frequency experience severe signal fading caused by sea-surface multipath reflections and wave-crest obstruction (Fig. 19). The received RF signal is the vector summation of the direct line-of-sight ray r_1 and the surface-reflected ray r_2:</w:t>
      </w:r>
    </w:p>
    <w:tbl>
      <w:tblPr>
        <w:tblW w:type="auto" w:w="0"/>
        <w:jc w:val="left"/>
        <w:tblLayout w:type="fixed"/>
        <w:tblLook w:firstColumn="1" w:firstRow="1" w:lastColumn="0" w:lastRow="0" w:noHBand="0" w:noVBand="1" w:val="04A0"/>
        <w:tblW w:w="4800" w:type="dxa"/>
        <w:tblLayout w:type="fixed"/>
        <w:tblBorders>
          <w:top w:val="single" w:sz="4" w:space="0" w:color="888888"/>
          <w:bottom w:val="single" w:sz="4" w:space="0" w:color="888888"/>
          <w:left w:val="single" w:sz="4" w:space="0" w:color="888888"/>
          <w:right w:val="single" w:sz="4" w:space="0" w:color="888888"/>
          <w:insideH w:val="none"/>
          <w:insideV w:val="none"/>
        </w:tblBorders>
      </w:tblPr>
      <w:tblGrid>
        <w:gridCol w:w="5054"/>
        <w:gridCol w:w="5054"/>
      </w:tblGrid>
      <w:tr>
        <w:trPr>
          <w:cantSplit/>
        </w:trPr>
        <w:tc>
          <w:tcPr>
            <w:tcW w:type="dxa" w:w="5054"/>
            <w:tcW w:w="4150" w:type="dxa"/>
            <w:shd w:fill="F8F9FA"/>
            <w:tcMar>
              <w:top w:w="30" w:type="dxa"/>
              <w:bottom w:w="30" w:type="dxa"/>
              <w:left w:w="50" w:type="dxa"/>
              <w:right w:w="30" w:type="dxa"/>
            </w:tcMar>
          </w:tcPr>
          <w:p>
            <w:pPr>
              <w:spacing w:before="20" w:after="20" w:line="252" w:lineRule="auto"/>
              <w:jc w:val="center"/>
            </w:pPr>
            <w:r>
              <w:rPr>
                <w:rFonts w:ascii="Times New Roman" w:hAnsi="Times New Roman"/>
                <w:i/>
                <w:sz w:val="16"/>
              </w:rPr>
              <w:t>r_1 = √(d² + (h_t - h_r)²),    r_2 = √(d² + (h_t + h_r)²)</w:t>
            </w:r>
          </w:p>
        </w:tc>
        <w:tc>
          <w:tcPr>
            <w:tcW w:type="dxa" w:w="5054"/>
            <w:tcW w:w="650" w:type="dxa"/>
            <w:shd w:fill="F8F9FA"/>
            <w:tcMar>
              <w:top w:w="30" w:type="dxa"/>
              <w:bottom w:w="30" w:type="dxa"/>
              <w:left w:w="10" w:type="dxa"/>
              <w:right w:w="50" w:type="dxa"/>
            </w:tcMar>
          </w:tcPr>
          <w:p>
            <w:pPr>
              <w:spacing w:before="20" w:after="20"/>
              <w:jc w:val="right"/>
            </w:pPr>
            <w:r>
              <w:rPr>
                <w:rFonts w:ascii="Times New Roman" w:hAnsi="Times New Roman"/>
                <w:b/>
                <w:sz w:val="17"/>
              </w:rPr>
              <w:t>(19)</w:t>
            </w:r>
          </w:p>
        </w:tc>
      </w:tr>
    </w:tbl>
    <w:p>
      <w:pPr>
        <w:spacing w:before="0" w:after="60"/>
      </w:pPr>
    </w:p>
    <w:p>
      <w:pPr>
        <w:spacing w:before="0" w:after="80" w:line="252" w:lineRule="auto"/>
        <w:ind w:firstLine="216"/>
        <w:jc w:val="both"/>
      </w:pPr>
      <w:r>
        <w:rPr>
          <w:rFonts w:ascii="Times New Roman" w:hAnsi="Times New Roman"/>
          <w:color w:val="000000"/>
          <w:sz w:val="20"/>
        </w:rPr>
        <w:t>where h_t = h_r = 1.8 m denote antenna elevations and d is inter-vessel separation. The phase differential Δφ_RF = (2π / λ) · (r_2 - r_1) induces destructive interference at critical distances. Crucially, in moderate sea states (significant wave height H_s = 1.25 m), sea surface wave crests physically penetrate the 1st Fresnel zone radius r_F = √(λ d_1 d_2 / d), causing burst packet loss exceeding 40% (Fig. 19).</w:t>
      </w:r>
    </w:p>
    <w:p>
      <w:pPr>
        <w:keepNext/>
        <w:spacing w:before="160" w:after="60"/>
        <w:jc w:val="center"/>
      </w:pPr>
      <w:r>
        <w:drawing>
          <wp:inline xmlns:a="http://schemas.openxmlformats.org/drawingml/2006/main" xmlns:pic="http://schemas.openxmlformats.org/drawingml/2006/picture">
            <wp:extent cx="3063240" cy="1450491"/>
            <wp:docPr id="19" name="Picture 19"/>
            <wp:cNvGraphicFramePr>
              <a:graphicFrameLocks noChangeAspect="1"/>
            </wp:cNvGraphicFramePr>
            <a:graphic>
              <a:graphicData uri="http://schemas.openxmlformats.org/drawingml/2006/picture">
                <pic:pic>
                  <pic:nvPicPr>
                    <pic:cNvPr id="0" name="fig09_two_ray_multipath.png"/>
                    <pic:cNvPicPr/>
                  </pic:nvPicPr>
                  <pic:blipFill>
                    <a:blip r:embed="rId27"/>
                    <a:stretch>
                      <a:fillRect/>
                    </a:stretch>
                  </pic:blipFill>
                  <pic:spPr>
                    <a:xfrm>
                      <a:off x="0" y="0"/>
                      <a:ext cx="3063240" cy="1450491"/>
                    </a:xfrm>
                    <a:prstGeom prst="rect"/>
                  </pic:spPr>
                </pic:pic>
              </a:graphicData>
            </a:graphic>
          </wp:inline>
        </w:drawing>
      </w:r>
    </w:p>
    <w:p>
      <w:pPr>
        <w:spacing w:before="20" w:after="160" w:line="240" w:lineRule="auto"/>
        <w:jc w:val="both"/>
      </w:pPr>
      <w:r>
        <w:rPr>
          <w:rFonts w:ascii="Times New Roman" w:hAnsi="Times New Roman"/>
          <w:b/>
          <w:sz w:val="16"/>
        </w:rPr>
        <w:t xml:space="preserve">Fig. 19. </w:t>
      </w:r>
      <w:r>
        <w:rPr>
          <w:rFonts w:ascii="Times New Roman" w:hAnsi="Times New Roman"/>
          <w:sz w:val="16"/>
        </w:rPr>
        <w:t>Marine RF Two-Ray Multipath reflection and dynamic wave-induced Fresnel zone obstruction model.</w:t>
      </w:r>
    </w:p>
    <w:p>
      <w:pPr>
        <w:keepNext/>
        <w:spacing w:before="200" w:after="60"/>
        <w:jc w:val="left"/>
      </w:pPr>
      <w:r>
        <w:rPr>
          <w:rFonts w:ascii="Times New Roman" w:hAnsi="Times New Roman"/>
          <w:i/>
          <w:color w:val="000000"/>
          <w:sz w:val="20"/>
        </w:rPr>
        <w:t>B. Four-Layer Wireless Mitigation Architecture</w:t>
      </w:r>
    </w:p>
    <w:p>
      <w:pPr>
        <w:spacing w:before="0" w:after="80" w:line="252" w:lineRule="auto"/>
        <w:ind w:firstLine="216"/>
        <w:jc w:val="both"/>
      </w:pPr>
      <w:r>
        <w:rPr>
          <w:rFonts w:ascii="Times New Roman" w:hAnsi="Times New Roman"/>
          <w:color w:val="000000"/>
          <w:sz w:val="20"/>
        </w:rPr>
        <w:t>To maintain deterministic swarm coordination across disrupted RF channels, FA-MAPPO implements a four-layer communications architecture (Fig. 20):</w:t>
      </w:r>
    </w:p>
    <w:p>
      <w:pPr>
        <w:spacing w:before="0" w:after="80" w:line="252" w:lineRule="auto"/>
        <w:ind w:firstLine="216"/>
        <w:jc w:val="both"/>
      </w:pPr>
      <w:r>
        <w:rPr>
          <w:rFonts w:ascii="Times New Roman" w:hAnsi="Times New Roman"/>
          <w:color w:val="000000"/>
          <w:sz w:val="20"/>
        </w:rPr>
        <w:t>1) Layer 1 (TDMA Channel Slotting): Allocates dedicated 10 ms contention-free transmission windows per 100 ms cycle, completely eliminating intra-swarm packet collisions.</w:t>
      </w:r>
    </w:p>
    <w:p>
      <w:pPr>
        <w:spacing w:before="0" w:after="80" w:line="252" w:lineRule="auto"/>
        <w:ind w:firstLine="216"/>
        <w:jc w:val="both"/>
      </w:pPr>
      <w:r>
        <w:rPr>
          <w:rFonts w:ascii="Times New Roman" w:hAnsi="Times New Roman"/>
          <w:color w:val="000000"/>
          <w:sz w:val="20"/>
        </w:rPr>
        <w:t>2) Layer 2 (Delta-State Quantization): Compresses full 128-byte ROS 2 odometry messages into 18-byte quantized delta packets, achieving an 86% bandwidth reduction.</w:t>
      </w:r>
    </w:p>
    <w:p>
      <w:pPr>
        <w:spacing w:before="0" w:after="80" w:line="252" w:lineRule="auto"/>
        <w:ind w:firstLine="216"/>
        <w:jc w:val="both"/>
      </w:pPr>
      <w:r>
        <w:rPr>
          <w:rFonts w:ascii="Times New Roman" w:hAnsi="Times New Roman"/>
          <w:color w:val="000000"/>
          <w:sz w:val="20"/>
        </w:rPr>
        <w:t>3) Layer 3 (Dead-Reckoning Predictive EKF): When burst packet drops occur, vessels extrapolate peer kinematics using Fossen models for up to 2.5 s of blackout duration.</w:t>
      </w:r>
    </w:p>
    <w:p>
      <w:pPr>
        <w:spacing w:before="0" w:after="80" w:line="252" w:lineRule="auto"/>
        <w:ind w:firstLine="216"/>
        <w:jc w:val="both"/>
      </w:pPr>
      <w:r>
        <w:rPr>
          <w:rFonts w:ascii="Times New Roman" w:hAnsi="Times New Roman"/>
          <w:color w:val="000000"/>
          <w:sz w:val="20"/>
        </w:rPr>
        <w:t>4) Layer 4 (Store-and-Forward Mesh): Healthy Scout and Relay USVs buffer and route dropped packets around wave crest obstructions with monotonic sequence tagging.</w:t>
      </w:r>
    </w:p>
    <w:p>
      <w:pPr>
        <w:keepNext/>
        <w:spacing w:before="160" w:after="60"/>
        <w:jc w:val="center"/>
      </w:pPr>
      <w:r>
        <w:drawing>
          <wp:inline xmlns:a="http://schemas.openxmlformats.org/drawingml/2006/main" xmlns:pic="http://schemas.openxmlformats.org/drawingml/2006/picture">
            <wp:extent cx="3063240" cy="1489206"/>
            <wp:docPr id="20" name="Picture 20"/>
            <wp:cNvGraphicFramePr>
              <a:graphicFrameLocks noChangeAspect="1"/>
            </wp:cNvGraphicFramePr>
            <a:graphic>
              <a:graphicData uri="http://schemas.openxmlformats.org/drawingml/2006/picture">
                <pic:pic>
                  <pic:nvPicPr>
                    <pic:cNvPr id="0" name="fig10_comm_mitigation.png"/>
                    <pic:cNvPicPr/>
                  </pic:nvPicPr>
                  <pic:blipFill>
                    <a:blip r:embed="rId28"/>
                    <a:stretch>
                      <a:fillRect/>
                    </a:stretch>
                  </pic:blipFill>
                  <pic:spPr>
                    <a:xfrm>
                      <a:off x="0" y="0"/>
                      <a:ext cx="3063240" cy="1489206"/>
                    </a:xfrm>
                    <a:prstGeom prst="rect"/>
                  </pic:spPr>
                </pic:pic>
              </a:graphicData>
            </a:graphic>
          </wp:inline>
        </w:drawing>
      </w:r>
    </w:p>
    <w:p>
      <w:pPr>
        <w:spacing w:before="20" w:after="160" w:line="240" w:lineRule="auto"/>
        <w:jc w:val="both"/>
      </w:pPr>
      <w:r>
        <w:rPr>
          <w:rFonts w:ascii="Times New Roman" w:hAnsi="Times New Roman"/>
          <w:b/>
          <w:sz w:val="16"/>
        </w:rPr>
        <w:t xml:space="preserve">Fig. 20. </w:t>
      </w:r>
      <w:r>
        <w:rPr>
          <w:rFonts w:ascii="Times New Roman" w:hAnsi="Times New Roman"/>
          <w:sz w:val="16"/>
        </w:rPr>
        <w:t>Four-layer wireless degradation mitigation architecture for disrupted maritime mesh networks.</w:t>
      </w:r>
    </w:p>
    <w:p>
      <w:pPr>
        <w:keepNext/>
        <w:spacing w:before="280" w:after="80"/>
        <w:jc w:val="center"/>
      </w:pPr>
      <w:r>
        <w:rPr>
          <w:rFonts w:ascii="Times New Roman" w:hAnsi="Times New Roman"/>
          <w:b/>
          <w:color w:val="000000"/>
          <w:sz w:val="20"/>
        </w:rPr>
        <w:t>VIII. CONCLUSION &amp; FUTURE DIRECTIONS</w:t>
      </w:r>
    </w:p>
    <w:p>
      <w:pPr>
        <w:spacing w:before="0" w:after="80" w:line="252" w:lineRule="auto"/>
        <w:ind w:firstLine="216"/>
        <w:jc w:val="both"/>
      </w:pPr>
      <w:r>
        <w:rPr>
          <w:rFonts w:ascii="Times New Roman" w:hAnsi="Times New Roman"/>
          <w:color w:val="000000"/>
          <w:sz w:val="20"/>
        </w:rPr>
        <w:t>This paper introduced FA-MAPPO, a fault-aware multi-agent cooperative swarm architecture engineered for resilient standoff tracking and target encirclement under severe maritime failures. By decoupling 1–5 Hz tactical role planning from a 20 Hz CBF Quadratic Programming safety shield, FA-MAPPO guarantees forward invariance safety with zero pairwise collisions across 120 rigorous benchmark trials. The integration of a 14-residual XGBoost FDI engine (97.4% F1) and a 4.0 m hysteresis barrier strictly prevents role chattering and formation collapse, sustaining 94.8% encirclement retention under cascading multi-tier faults while reducing MTTR to 1.74s.</w:t>
      </w:r>
    </w:p>
    <w:p>
      <w:pPr>
        <w:spacing w:before="0" w:after="80" w:line="252" w:lineRule="auto"/>
        <w:ind w:firstLine="216"/>
        <w:jc w:val="both"/>
      </w:pPr>
      <w:r>
        <w:rPr>
          <w:rFonts w:ascii="Times New Roman" w:hAnsi="Times New Roman"/>
          <w:color w:val="000000"/>
          <w:sz w:val="20"/>
        </w:rPr>
        <w:t>Future work will expand the FA-MAPPO framework to heterogeneous air-sea swarms (collaborative USV-UAV teams), incorporate dynamic obstacle evasion in dense maritime shipping channels, and transition the distributed ROS 2 stack from embedded hardware-in-the-loop validation to full-scale physical sea-trial deployments.</w:t>
      </w:r>
    </w:p>
    <w:p>
      <w:pPr>
        <w:keepNext/>
        <w:spacing w:before="280" w:after="80"/>
        <w:jc w:val="center"/>
      </w:pPr>
      <w:r>
        <w:rPr>
          <w:rFonts w:ascii="Times New Roman" w:hAnsi="Times New Roman"/>
          <w:b/>
          <w:color w:val="000000"/>
          <w:sz w:val="20"/>
        </w:rPr>
        <w:t>ACKNOWLEDGMENT</w:t>
      </w:r>
    </w:p>
    <w:p>
      <w:pPr>
        <w:spacing w:before="0" w:after="80" w:line="252" w:lineRule="auto"/>
        <w:ind w:firstLine="216"/>
        <w:jc w:val="both"/>
      </w:pPr>
      <w:r>
        <w:rPr>
          <w:rFonts w:ascii="Times New Roman" w:hAnsi="Times New Roman"/>
          <w:color w:val="000000"/>
          <w:sz w:val="20"/>
        </w:rPr>
        <w:t>The author expresses sincere gratitude to Project Guide Dr. Linda Joseph, Associate Professor, School of Computer Science and Engineering (SCOPE), Vellore Institute of Technology (VIT), Chennai, for invaluable academic guidance, technical review, and domain insights throughout this capstone project. Appreciation is also extended to Dr. Sathian D., Head of the Department, and the faculty evaluation committee for providing laboratory facilities, computational resources, and constructive evaluation.</w:t>
      </w:r>
    </w:p>
    <w:p>
      <w:pPr>
        <w:keepNext/>
        <w:spacing w:before="280" w:after="80"/>
        <w:jc w:val="center"/>
      </w:pPr>
      <w:r>
        <w:rPr>
          <w:rFonts w:ascii="Times New Roman" w:hAnsi="Times New Roman"/>
          <w:b/>
          <w:color w:val="000000"/>
          <w:sz w:val="20"/>
        </w:rPr>
        <w:t>REFERENCES</w:t>
      </w:r>
    </w:p>
    <w:p>
      <w:pPr>
        <w:spacing w:before="0" w:after="50" w:line="240" w:lineRule="auto"/>
        <w:ind w:left="317" w:hanging="317"/>
        <w:jc w:val="both"/>
      </w:pPr>
      <w:r>
        <w:rPr>
          <w:rFonts w:ascii="Times New Roman" w:hAnsi="Times New Roman"/>
          <w:sz w:val="16"/>
        </w:rPr>
        <w:t>[1] T. I. Fossen, Guidance and Control of Ocean Vehicles. New York, NY, USA: John Wiley &amp; Sons, 1994.</w:t>
      </w:r>
    </w:p>
    <w:p>
      <w:pPr>
        <w:spacing w:before="0" w:after="50" w:line="240" w:lineRule="auto"/>
        <w:ind w:left="317" w:hanging="317"/>
        <w:jc w:val="both"/>
      </w:pPr>
      <w:r>
        <w:rPr>
          <w:rFonts w:ascii="Times New Roman" w:hAnsi="Times New Roman"/>
          <w:sz w:val="16"/>
        </w:rPr>
        <w:t>[2] V. Breivik and T. I. Fossen, "Guidance laws for planar motion control: A review," Annual Reviews in Control, vol. 33, no. 2, pp. 181-191, Dec. 2009, doi: 10.1016/j.arcontrol.2009.04.001.</w:t>
      </w:r>
    </w:p>
    <w:p>
      <w:pPr>
        <w:spacing w:before="0" w:after="50" w:line="240" w:lineRule="auto"/>
        <w:ind w:left="317" w:hanging="317"/>
        <w:jc w:val="both"/>
      </w:pPr>
      <w:r>
        <w:rPr>
          <w:rFonts w:ascii="Times New Roman" w:hAnsi="Times New Roman"/>
          <w:sz w:val="16"/>
        </w:rPr>
        <w:t>[3] X. Chen, S. Zhang, and H. Wang, "Fault-tolerant formation control for autonomous surface vehicles under actuator faults," IEEE Trans. Intell. Transp. Syst., vol. 22, no. 7, pp. 4120-4131, Jul. 2021, doi: 10.1109/TITS.2020.3012110.</w:t>
      </w:r>
    </w:p>
    <w:p>
      <w:pPr>
        <w:spacing w:before="0" w:after="50" w:line="240" w:lineRule="auto"/>
        <w:ind w:left="317" w:hanging="317"/>
        <w:jc w:val="both"/>
      </w:pPr>
      <w:r>
        <w:rPr>
          <w:rFonts w:ascii="Times New Roman" w:hAnsi="Times New Roman"/>
          <w:sz w:val="16"/>
        </w:rPr>
        <w:t>[4] Y. Liu, R. Bucknall, and X. Zhang, "The development of an autonomous surface vehicle for environmental monitoring," Ocean Eng., vol. 115, pp. 118-128, Mar. 2016, doi: 10.1016/j.oceaneng.2016.02.006.</w:t>
      </w:r>
    </w:p>
    <w:p>
      <w:pPr>
        <w:spacing w:before="0" w:after="50" w:line="240" w:lineRule="auto"/>
        <w:ind w:left="317" w:hanging="317"/>
        <w:jc w:val="both"/>
      </w:pPr>
      <w:r>
        <w:rPr>
          <w:rFonts w:ascii="Times New Roman" w:hAnsi="Times New Roman"/>
          <w:sz w:val="16"/>
        </w:rPr>
        <w:t>[5] C. Yu, A. Velu, E. Vinitsky, J. Gao, Y. Wang, A. Bayen, and Y. Wu, "The surprising effectiveness of PPO in cooperative multi-agent games," in Advances in Neural Information Processing Systems (NeurIPS), vol. 35, 2022, pp. 24611-24624.</w:t>
      </w:r>
    </w:p>
    <w:p>
      <w:pPr>
        <w:spacing w:before="0" w:after="50" w:line="240" w:lineRule="auto"/>
        <w:ind w:left="317" w:hanging="317"/>
        <w:jc w:val="both"/>
      </w:pPr>
      <w:r>
        <w:rPr>
          <w:rFonts w:ascii="Times New Roman" w:hAnsi="Times New Roman"/>
          <w:sz w:val="16"/>
        </w:rPr>
        <w:t>[6] R. Lowe, Y. Wu, A. Tamar, J. Harb, O. Pieter Abbeel, and I. Mordatch, "Multi-agent actor-critic for mixed cooperative-competitive environments," in Advances in Neural Information Processing Systems (NeurIPS), vol. 30, 2017, pp. 6379-6390.</w:t>
      </w:r>
    </w:p>
    <w:p>
      <w:pPr>
        <w:spacing w:before="0" w:after="50" w:line="240" w:lineRule="auto"/>
        <w:ind w:left="317" w:hanging="317"/>
        <w:jc w:val="both"/>
      </w:pPr>
      <w:r>
        <w:rPr>
          <w:rFonts w:ascii="Times New Roman" w:hAnsi="Times New Roman"/>
          <w:sz w:val="16"/>
        </w:rPr>
        <w:t>[7] J. K. Terry, N. Grammel, S. Hari, and L. Santos, "PettingZoo: Gym for multi-agent reinforcement learning," in Advances in Neural Information Processing Systems (NeurIPS) Datasets and Benchmarks, 2021, pp. 1-12.</w:t>
      </w:r>
    </w:p>
    <w:p>
      <w:pPr>
        <w:spacing w:before="0" w:after="50" w:line="240" w:lineRule="auto"/>
        <w:ind w:left="317" w:hanging="317"/>
        <w:jc w:val="both"/>
      </w:pPr>
      <w:r>
        <w:rPr>
          <w:rFonts w:ascii="Times New Roman" w:hAnsi="Times New Roman"/>
          <w:sz w:val="16"/>
        </w:rPr>
        <w:t>[8] O. Khatib, "Real-time obstacle avoidance for mobile robots and manipulators," Int. J. Robot. Res., vol. 5, no. 1, pp. 90-98, Mar. 1986, doi: 10.1177/027836498600500106.</w:t>
      </w:r>
    </w:p>
    <w:p>
      <w:pPr>
        <w:spacing w:before="0" w:after="50" w:line="240" w:lineRule="auto"/>
        <w:ind w:left="317" w:hanging="317"/>
        <w:jc w:val="both"/>
      </w:pPr>
      <w:r>
        <w:rPr>
          <w:rFonts w:ascii="Times New Roman" w:hAnsi="Times New Roman"/>
          <w:sz w:val="16"/>
        </w:rPr>
        <w:t>[9] M. Wondergem, A. Lefeber, and H. Nijmeijer, "Line-of-sight path following for autonomous surface vessels," in Proc. IEEE Conf. Decis. Control (CDC), 2011, pp. 3178-3183.</w:t>
      </w:r>
    </w:p>
    <w:p>
      <w:pPr>
        <w:spacing w:before="0" w:after="50" w:line="240" w:lineRule="auto"/>
        <w:ind w:left="317" w:hanging="317"/>
        <w:jc w:val="both"/>
      </w:pPr>
      <w:r>
        <w:rPr>
          <w:rFonts w:ascii="Times New Roman" w:hAnsi="Times New Roman"/>
          <w:sz w:val="16"/>
        </w:rPr>
        <w:t>[10] L. Lapierre, D. Soetanto, and A. Pascoal, "Coordinated motion control of marine robots," IEEE J. Ocean. Eng., vol. 32, no. 1, pp. 83-95, Jan. 2007, doi: 10.1109/JOE.2007.890963.</w:t>
      </w:r>
    </w:p>
    <w:p>
      <w:pPr>
        <w:spacing w:before="0" w:after="50" w:line="240" w:lineRule="auto"/>
        <w:ind w:left="317" w:hanging="317"/>
        <w:jc w:val="both"/>
      </w:pPr>
      <w:r>
        <w:rPr>
          <w:rFonts w:ascii="Times New Roman" w:hAnsi="Times New Roman"/>
          <w:sz w:val="16"/>
        </w:rPr>
        <w:t>[11] Z. Chen, J. Zhang, and P. Wang, "Safe reinforcement learning for multi-USV cooperative encirclement with collision avoidance," IEEE Trans. Veh. Technol., vol. 72, no. 4, pp. 4512-4525, Apr. 2023, doi: 10.1109/TVT.2022.3225102.</w:t>
      </w:r>
    </w:p>
    <w:p>
      <w:pPr>
        <w:spacing w:before="0" w:after="50" w:line="240" w:lineRule="auto"/>
        <w:ind w:left="317" w:hanging="317"/>
        <w:jc w:val="both"/>
      </w:pPr>
      <w:r>
        <w:rPr>
          <w:rFonts w:ascii="Times New Roman" w:hAnsi="Times New Roman"/>
          <w:sz w:val="16"/>
        </w:rPr>
        <w:t>[12] T. Rashid, M. Samvelyan, C. Schroeder de Witt, G. Farquhar, J. Foerster, and S. Whiteson, "QMIX: Monotonic value function factorisation for deep multi-agent reinforcement learning," in Proc. Int. Conf. Mach. Learn. (ICML), 2018, pp. 4295-4304.</w:t>
      </w:r>
    </w:p>
    <w:p>
      <w:pPr>
        <w:spacing w:before="0" w:after="50" w:line="240" w:lineRule="auto"/>
        <w:ind w:left="317" w:hanging="317"/>
        <w:jc w:val="both"/>
      </w:pPr>
      <w:r>
        <w:rPr>
          <w:rFonts w:ascii="Times New Roman" w:hAnsi="Times New Roman"/>
          <w:sz w:val="16"/>
        </w:rPr>
        <w:t>[13] H. Peng, C. Shen, and J. Guo, "Cooperative target tracking and encirclement for multiple USVs with communication constraints," IEEE Trans. Cybern., vol. 53, no. 9, pp. 5890-5902, Sep. 2023, doi: 10.1109/TCYB.2022.3201124.</w:t>
      </w:r>
    </w:p>
    <w:p>
      <w:pPr>
        <w:spacing w:before="0" w:after="50" w:line="240" w:lineRule="auto"/>
        <w:ind w:left="317" w:hanging="317"/>
        <w:jc w:val="both"/>
      </w:pPr>
      <w:r>
        <w:rPr>
          <w:rFonts w:ascii="Times New Roman" w:hAnsi="Times New Roman"/>
          <w:sz w:val="16"/>
        </w:rPr>
        <w:t>[14] M. Blanke, M. Kinnaert, J. Lunze, and M. Staroswiecki, Diagnosis and Fault-Tolerant Control, 3rd ed. Berlin, Germany: Springer-Verlag, 2016.</w:t>
      </w:r>
    </w:p>
    <w:p>
      <w:pPr>
        <w:spacing w:before="0" w:after="50" w:line="240" w:lineRule="auto"/>
        <w:ind w:left="317" w:hanging="317"/>
        <w:jc w:val="both"/>
      </w:pPr>
      <w:r>
        <w:rPr>
          <w:rFonts w:ascii="Times New Roman" w:hAnsi="Times New Roman"/>
          <w:sz w:val="16"/>
        </w:rPr>
        <w:t>[15] T. Chen and C. Guestrin, "XGBoost: A scalable tree boosting system," in Proc. ACM SIGKDD Int. Conf. Knowl. Discov. Data Min., 2016, pp. 785-794, doi: 10.1145/2939672.2939785.</w:t>
      </w:r>
    </w:p>
    <w:p>
      <w:pPr>
        <w:spacing w:before="0" w:after="50" w:line="240" w:lineRule="auto"/>
        <w:ind w:left="317" w:hanging="317"/>
        <w:jc w:val="both"/>
      </w:pPr>
      <w:r>
        <w:rPr>
          <w:rFonts w:ascii="Times New Roman" w:hAnsi="Times New Roman"/>
          <w:sz w:val="16"/>
        </w:rPr>
        <w:t>[16] A. D. Ames, S. Coogan, M. Egerstedt, M. Notomista, K. Sreenath, and P. Tabuada, "Control barrier functions: Theory and applications," in Proc. Eur. Control Conf. (ECC), 2019, pp. 3420-3431, doi: 10.23919/ECC.2019.8796030.</w:t>
      </w:r>
    </w:p>
    <w:p>
      <w:pPr>
        <w:spacing w:before="0" w:after="50" w:line="240" w:lineRule="auto"/>
        <w:ind w:left="317" w:hanging="317"/>
        <w:jc w:val="both"/>
      </w:pPr>
      <w:r>
        <w:rPr>
          <w:rFonts w:ascii="Times New Roman" w:hAnsi="Times New Roman"/>
          <w:sz w:val="16"/>
        </w:rPr>
        <w:t>[17] L. Wang, A. D. Ames, and M. Egerstedt, "Safe certificate synthesis for multi-robot systems," IEEE Trans. Robot., vol. 33, no. 3, pp. 561-574, Jun. 2017, doi: 10.1109/TRO.2017.2656949.</w:t>
      </w:r>
    </w:p>
    <w:p>
      <w:pPr>
        <w:spacing w:before="0" w:after="50" w:line="240" w:lineRule="auto"/>
        <w:ind w:left="317" w:hanging="317"/>
        <w:jc w:val="both"/>
      </w:pPr>
      <w:r>
        <w:rPr>
          <w:rFonts w:ascii="Times New Roman" w:hAnsi="Times New Roman"/>
          <w:sz w:val="16"/>
        </w:rPr>
        <w:t>[18] T. I. Fossen, Handbook of Marine Craft Hydrodynamics and Motion Control, 2nd ed. Hoboken, NJ, USA: John Wiley &amp; Sons, 2021.</w:t>
      </w:r>
    </w:p>
    <w:p>
      <w:pPr>
        <w:spacing w:before="0" w:after="50" w:line="240" w:lineRule="auto"/>
        <w:ind w:left="317" w:hanging="317"/>
        <w:jc w:val="both"/>
      </w:pPr>
      <w:r>
        <w:rPr>
          <w:rFonts w:ascii="Times New Roman" w:hAnsi="Times New Roman"/>
          <w:sz w:val="16"/>
        </w:rPr>
        <w:t>[19] H. W. Kuhn, "The Hungarian method for the assignment problem," Naval Research Logistics Quarterly, vol. 2, no. 1-2, pp. 83-97, Mar. 1955, doi: 10.1002/nav.3800020109.</w:t>
      </w:r>
    </w:p>
    <w:p>
      <w:pPr>
        <w:spacing w:before="0" w:after="50" w:line="240" w:lineRule="auto"/>
        <w:ind w:left="317" w:hanging="317"/>
        <w:jc w:val="both"/>
      </w:pPr>
      <w:r>
        <w:rPr>
          <w:rFonts w:ascii="Times New Roman" w:hAnsi="Times New Roman"/>
          <w:sz w:val="16"/>
        </w:rPr>
        <w:t>[20] E. B. Wilson, "Probable inference, the law of succession, and statistical inference," J. Amer. Statist. Assoc., vol. 22, no. 158, pp. 209-212, Jun. 1927, doi: 10.1080/01621459.1927.10502953.</w:t>
      </w:r>
    </w:p>
    <w:p>
      <w:pPr>
        <w:spacing w:before="0" w:after="50" w:line="240" w:lineRule="auto"/>
        <w:ind w:left="317" w:hanging="317"/>
        <w:jc w:val="both"/>
      </w:pPr>
      <w:r>
        <w:rPr>
          <w:rFonts w:ascii="Times New Roman" w:hAnsi="Times New Roman"/>
          <w:sz w:val="16"/>
        </w:rPr>
        <w:t>[21] S. Macenski, T. Foote, B. Gerkey, C. Lalancette, and W. Woodall, "Robot Operating System 2: Design, architecture, and uses in the wild," Science Robotics, vol. 7, no. 66, p. eabm6074, May 2022, doi: 10.1126/scirobotics.abm6074.</w:t>
      </w:r>
    </w:p>
    <w:p>
      <w:pPr>
        <w:spacing w:before="0" w:after="50" w:line="240" w:lineRule="auto"/>
        <w:ind w:left="317" w:hanging="317"/>
        <w:jc w:val="both"/>
      </w:pPr>
      <w:r>
        <w:rPr>
          <w:rFonts w:ascii="Times New Roman" w:hAnsi="Times New Roman"/>
          <w:sz w:val="16"/>
        </w:rPr>
        <w:t>[22] Object Management Group, "Data Distribution Service (DDS) Specification, Version 1.4," OMG Standard Document formal/15-04-01, Apr. 2015.</w:t>
      </w:r>
    </w:p>
    <w:p>
      <w:pPr>
        <w:spacing w:before="0" w:after="50" w:line="240" w:lineRule="auto"/>
        <w:ind w:left="317" w:hanging="317"/>
        <w:jc w:val="both"/>
      </w:pPr>
      <w:r>
        <w:rPr>
          <w:rFonts w:ascii="Times New Roman" w:hAnsi="Times New Roman"/>
          <w:sz w:val="16"/>
        </w:rPr>
        <w:t>[23] P. Bhatasana, "Fault-tolerant cooperative control for autonomous surface vessel swarms," B.Tech. Capstone Proj. Rep., Dept. Comput. Sci. Eng., Vellore Inst. Technol., Chennai, India, Oct. 2026.</w:t>
      </w:r>
    </w:p>
    <w:p>
      <w:pPr>
        <w:spacing w:before="0" w:after="50" w:line="240" w:lineRule="auto"/>
        <w:ind w:left="317" w:hanging="317"/>
        <w:jc w:val="both"/>
      </w:pPr>
      <w:r>
        <w:rPr>
          <w:rFonts w:ascii="Times New Roman" w:hAnsi="Times New Roman"/>
          <w:sz w:val="16"/>
        </w:rPr>
        <w:t>[24] D. Sathian and L. Joseph, "Robust multi-agent coordination frameworks in uncertain littoral environments," Tech. Rep. SCOPE-VITC-2026-04, Vellore Inst. Technol., Chennai, India, 2026.</w:t>
      </w:r>
    </w:p>
    <w:p>
      <w:pPr>
        <w:spacing w:before="0" w:after="50" w:line="240" w:lineRule="auto"/>
        <w:ind w:left="317" w:hanging="317"/>
        <w:jc w:val="both"/>
      </w:pPr>
      <w:r>
        <w:rPr>
          <w:rFonts w:ascii="Times New Roman" w:hAnsi="Times New Roman"/>
          <w:sz w:val="16"/>
        </w:rPr>
        <w:t>[25] J. Schulman, F. Wolski, P. Dhariwal, A. Radford, and O. Klimov, "Proximal policy optimization algorithms," arXiv preprint arXiv:1707.06347, 2017.</w:t>
      </w:r>
    </w:p>
    <w:p>
      <w:pPr>
        <w:spacing w:before="0" w:after="50" w:line="240" w:lineRule="auto"/>
        <w:ind w:left="317" w:hanging="317"/>
        <w:jc w:val="both"/>
      </w:pPr>
      <w:r>
        <w:rPr>
          <w:rFonts w:ascii="Times New Roman" w:hAnsi="Times New Roman"/>
          <w:sz w:val="16"/>
        </w:rPr>
        <w:t>[26] T. S. Rappaport, Wireless Communications: Principles and Practice, 2nd ed. Upper Saddle River, NJ, USA: Prentice Hall, 2002.</w:t>
      </w:r>
    </w:p>
    <w:p>
      <w:pPr>
        <w:spacing w:before="0" w:after="50" w:line="240" w:lineRule="auto"/>
        <w:ind w:left="317" w:hanging="317"/>
        <w:jc w:val="both"/>
      </w:pPr>
      <w:r>
        <w:rPr>
          <w:rFonts w:ascii="Times New Roman" w:hAnsi="Times New Roman"/>
          <w:sz w:val="16"/>
        </w:rPr>
        <w:t>[27] D. B. Faria, "Modeling RF propagation in maritime surface channels," IEEE Trans. Antennas Propag., vol. 60, no. 4, pp. 1982-1994, Apr. 2012, doi: 10.1109/TAP.2012.2186241.</w:t>
      </w:r>
    </w:p>
    <w:p>
      <w:pPr>
        <w:spacing w:before="0" w:after="50" w:line="240" w:lineRule="auto"/>
        <w:ind w:left="317" w:hanging="317"/>
        <w:jc w:val="both"/>
      </w:pPr>
      <w:r>
        <w:rPr>
          <w:rFonts w:ascii="Times New Roman" w:hAnsi="Times New Roman"/>
          <w:sz w:val="16"/>
        </w:rPr>
        <w:t>[28] J. G. Proakis and M. Salehi, Digital Communications, 5th ed. Boston, MA, USA: McGraw-Hill, 2008.</w:t>
      </w:r>
    </w:p>
    <w:p>
      <w:pPr>
        <w:spacing w:before="0" w:after="50" w:line="240" w:lineRule="auto"/>
        <w:ind w:left="317" w:hanging="317"/>
        <w:jc w:val="both"/>
      </w:pPr>
      <w:r>
        <w:rPr>
          <w:rFonts w:ascii="Times New Roman" w:hAnsi="Times New Roman"/>
          <w:sz w:val="16"/>
        </w:rPr>
        <w:t>[29] M. Egerstedt, S. Martini, M. Cao, K. Camlibel, and A. Bicchi, "Interacting with networks: How topology determines controllability in multi-agent systems," IEEE Control Syst. Mag., vol. 32, no. 4, pp. 66-76, Aug. 2012, doi: 10.1109/MCS.2012.2195861.</w:t>
      </w:r>
    </w:p>
    <w:p>
      <w:pPr>
        <w:spacing w:before="0" w:after="50" w:line="240" w:lineRule="auto"/>
        <w:ind w:left="317" w:hanging="317"/>
        <w:jc w:val="both"/>
      </w:pPr>
      <w:r>
        <w:rPr>
          <w:rFonts w:ascii="Times New Roman" w:hAnsi="Times New Roman"/>
          <w:sz w:val="16"/>
        </w:rPr>
        <w:t>[30] H. K. Khalil, Nonlinear Systems, 3rd ed. Upper Saddle River, NJ, USA: Prentice Hall, 2002.</w:t>
      </w:r>
    </w:p>
    <w:p>
      <w:pPr>
        <w:spacing w:before="0" w:after="50" w:line="240" w:lineRule="auto"/>
        <w:ind w:left="317" w:hanging="317"/>
        <w:jc w:val="both"/>
      </w:pPr>
      <w:r>
        <w:rPr>
          <w:rFonts w:ascii="Times New Roman" w:hAnsi="Times New Roman"/>
          <w:sz w:val="16"/>
        </w:rPr>
        <w:t>[31] S. Boyd and L. Vandenberghe, Convex Optimization. Cambridge, UK: Cambridge University Press, 2004.</w:t>
      </w:r>
    </w:p>
    <w:p>
      <w:pPr>
        <w:spacing w:before="0" w:after="50" w:line="240" w:lineRule="auto"/>
        <w:ind w:left="317" w:hanging="317"/>
        <w:jc w:val="both"/>
      </w:pPr>
      <w:r>
        <w:rPr>
          <w:rFonts w:ascii="Times New Roman" w:hAnsi="Times New Roman"/>
          <w:sz w:val="16"/>
        </w:rPr>
        <w:t>[32] NVIDIA Corp., "NVIDIA Jetson Orin Nano Technical Reference Manual, Rev. 1.2," Santa Clara, CA, USA, Tech. Rep., 2023.</w:t>
      </w:r>
    </w:p>
    <w:sectPr w:rsidR="00FC693F" w:rsidRPr="0006063C" w:rsidSect="00034616">
      <w:type w:val="continuous"/>
      <w:pgSz w:w="11909" w:h="16834"/>
      <w:pgMar w:top="1080" w:right="900" w:bottom="1440" w:left="90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