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Single Member)</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 is the sole member of the Company and manages it, and intends by this Agreement to set forth the terms governing the Company, each Protected Series designated by the Company, and the relations among the Company, each Protected Series, and the Member.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Member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2.12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2.13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shall adopt a Series Exhibit for the new Protected Series.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the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is not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Member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Other Activities.</w:t>
      </w:r>
      <w:r>
        <w:rPr>
          <w:rFonts w:ascii="Times New Roman" w:hAnsi="Times New Roman"/>
          <w:sz w:val="24"/>
          <w:szCs w:val="24"/>
        </w:rPr>
        <w:t xml:space="preserve"> The Member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4.5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maintained with the Company's records; the change is effective upon execution, and Exhibit A shall be updated to reflect it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4.6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4.7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 BY THE MEMBER</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 As permitted by s. 605.2107(1)(n), Florida Statutes, this Section varies s. 605.2304(2) so that the Member, rather than the Company, is the protected-series manager of each Protected Series. The Member has, with respect to each Protected Series, the rights, powers, and duties of a protected-series manager under the Act, subject to this Agreement and the Series Exhibit.</w:t>
      </w:r>
    </w:p>
    <w:p>
      <w:pPr>
        <w:widowControl/>
        <w:spacing w:after="160"/>
        <w:jc w:val="both"/>
      </w:pPr>
      <w:r>
        <w:rPr>
          <w:rFonts w:ascii="Times New Roman" w:hAnsi="Times New Roman"/>
          <w:b/>
          <w:sz w:val="24"/>
          <w:szCs w:val="24"/>
        </w:rPr>
        <w:t xml:space="preserve">5.3 Authority to Act.</w:t>
      </w:r>
      <w:r>
        <w:rPr>
          <w:rFonts w:ascii="Times New Roman" w:hAnsi="Times New Roman"/>
          <w:sz w:val="24"/>
          <w:szCs w:val="24"/>
        </w:rPr>
        <w:t xml:space="preserve"> The Member is an agent of the Company for the purpose of its activities and affairs to the extent provided by the Act, and may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of any Protected Series.</w:t>
      </w:r>
    </w:p>
    <w:p>
      <w:pPr>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Member shall discharge the duties of a member of a member-managed limited liability company consistent with the Act. The Member shall not be liable to the Company or to any Protected Series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Member, and each Protected Series shall indemnify the Member acting as its protected-series manager,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5.6 Reimbursement; Shared Expenses.</w:t>
      </w:r>
      <w:r>
        <w:rPr>
          <w:rFonts w:ascii="Times New Roman" w:hAnsi="Times New Roman"/>
          <w:sz w:val="24"/>
          <w:szCs w:val="24"/>
        </w:rPr>
        <w:t xml:space="preserve"> The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Member — by specific attribution where practicable and otherwise pro rata or by such other reasonable formula as the Member adopts — and the allocation shall be recorded in the records maintained under Article 8.</w:t>
      </w:r>
    </w:p>
    <w:p>
      <w:pPr>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Member may cause the Company to file with the Department a statement of authority under s. 605.0302, Florida Statutes, stating the authority, or the limitations on the authority, of the Member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Member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Member shall maintain, for the Company and for each Protected Series, the records described in this Article.</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disregarded as an entity separate from the Member for federal income tax purposes. Each Protected Series is wholly owned by the Company. If a Protected Series is treated as an entity separate from the Company for federal income tax purposes, it is intended that the Protected Series be disregarded as an entity separate from its owner. Accordingly, all items of income, gain, loss, deduction, and credit of the Company and of each Protected Series are reported directly by the Member.</w:t>
      </w:r>
    </w:p>
    <w:p>
      <w:pPr>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Member shall make, or cause to be made, all tax filings required of the Company or of any Protected Series and may make any tax election the Member determines to be in the Member's best interests, consistent with Section 9.1.</w:t>
      </w:r>
    </w:p>
    <w:p>
      <w:pPr>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Member selects another permitted year.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and the Member's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has executed this Agreement effective as of the date set forth below.</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TO] |</w:t>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 as protected-series manager (ss. 605.2304(1)-(2), 605.2107(1)(n),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the 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Single Member / Disregarded Entity), v1 draft. Statutory citations verified against Online Sunshine: ss. 605.2103, 605.2107, 605.2201, 605.2202, 605.2301, 605.2303, 605.2304, 605.2401, 605.2501, 605.2604, 605.0302, 605.04074, 48.062, 711.50–711.512, Fla. Stat.</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