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Single Member)</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 is the sole member of the Company, and intends by this Agreement to set forth the terms governing the Company, each Protected Series designated by the Company, and the relations among the Company, each Protected Series, the Member, and the Manager.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2.9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2.10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2.11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2.12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2.13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2.14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2.15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the Member approves.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Manager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if an individual, may designate any person or entity as a beneficiary. A designation may name a backup beneficiary to take if the first beneficiary does not survive the Member.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4.7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and the Manager may rely on a certified copy of the power of attorney or of the letters of guardianship without further inquiry.</w:t>
      </w:r>
    </w:p>
    <w:p>
      <w:pPr>
        <w:widowControl/>
        <w:spacing w:after="160"/>
        <w:jc w:val="both"/>
      </w:pPr>
      <w:r>
        <w:rPr>
          <w:rFonts w:ascii="Times New Roman" w:hAnsi="Times New Roman"/>
          <w:b/>
          <w:sz w:val="24"/>
          <w:szCs w:val="24"/>
        </w:rPr>
        <w:t xml:space="preserve">4.8 Bankruptcy or Insolvency of the Member.</w:t>
      </w:r>
      <w:r>
        <w:rPr>
          <w:rFonts w:ascii="Times New Roman" w:hAnsi="Times New Roman"/>
          <w:sz w:val="24"/>
          <w:szCs w:val="24"/>
        </w:rPr>
        <w:t xml:space="preserve"> The Member is not dissociated, and the Membership Interest is not forfeited, terminated, or modified, by reason of the Member becoming a debtor in bankruptcy, executing an assignment for the benefit of creditors, or the appointment of a trustee, receiver, or liquidator of the Member or of all or substantially all of the Member's property, and each such event is excluded as an event of dissociation under s. 605.0602, Florida Statutes. The Manager continues in office with the authority stated in this Agreement, and the Company and each Protected Series continue without dissolution or winding up. A person who succeeds to all or any part of the Membership Interest by reason of such an event holds it subject to this Agreement and is admitted as the Member upon delivery to the Company of a written agreement to be bound by this Agreement.</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[MANAGER NAMES].The initial Managers are [MANAGER NAMES].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the Member.</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written consent of the Member:</w:t>
      </w:r>
    </w:p>
    <w:p>
      <w:pPr>
        <w:widowControl/>
        <w:spacing w:after="160"/>
        <w:jc w:val="both"/>
      </w:pPr>
      <w:r>
        <w:rPr>
          <w:rFonts w:ascii="Times New Roman" w:hAnsi="Times New Roman"/>
          <w:sz w:val="24"/>
          <w:szCs w:val="24"/>
        </w:rPr>
        <w:t xml:space="preserve">(a) sell, exchange, or otherwise dispose of all or substantially all of the Associated Assets of the Company or of any Protected Series, other than in the ordinary course of business; or</w:t>
      </w:r>
    </w:p>
    <w:p>
      <w:pPr>
        <w:widowControl/>
        <w:spacing w:after="160"/>
        <w:jc w:val="both"/>
      </w:pPr>
      <w:r>
        <w:rPr>
          <w:rFonts w:ascii="Times New Roman" w:hAnsi="Times New Roman"/>
          <w:sz w:val="24"/>
          <w:szCs w:val="24"/>
        </w:rPr>
        <w:t xml:space="preserve">(b) file, amend, or cancel a statement of authority under s. 605.0302, Florida Statutes, or record a certified copy of one.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the Member required by Section 5.4(b),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The records of the Company that the Member may inspect include the records maintained under this Article for every Protected Series.</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disregarded as an entity separate from the Member for federal income tax purposes. Each Protected Series is wholly owned by the Company. If a Protected Series is treated as an entity separate from the Company for federal income tax purposes, it is intended that the Protected Series be disregarded as an entity separate from its owner. Accordingly, all items of income, gain, loss, deduction, and credit of the Company and of each Protected Series are reported directly by the Member.</w:t>
      </w:r>
    </w:p>
    <w:p>
      <w:pPr>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Manager shall make, or cause to be made, all tax filings required of the Company or of any Protected Series and may make any tax election the Manager determines to be in the best interests of the Member, consistent with Section 9.1.</w:t>
      </w:r>
    </w:p>
    <w:p>
      <w:pPr>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Manager selects another permitted year.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and upon the admitted person's delivery of a signed agreement to be bound by this Agreement.</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provided, that (a) the Manager may amend Exhibit A and each Series Exhibit without further consent solely to record changes duly made under this Agreement (admissions, Transfers, and TOD designations); and (b) any amendment changing the rights or obligations of the Manager may not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date(s) set forth below.</w:t>
      </w:r>
    </w:p>
    <w:p>
      <w:pPr>
        <w:keepNext/>
        <w:widowControl/>
        <w:spacing w:after="160"/>
        <w:jc w:val="both"/>
      </w:pPr>
      <w:r>
        <w:rPr>
          <w:rFonts w:ascii="Times New Roman" w:hAnsi="Times New Roman"/>
          <w:b/>
          <w:sz w:val="24"/>
          <w:szCs w:val="24"/>
        </w:rPr>
        <w:t xml:space="preserve">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keepNext/>
        <w:widowControl/>
        <w:spacing w:after="160"/>
        <w:jc w:val="both"/>
      </w:pPr>
      <w:r>
        <w:rPr>
          <w:rFonts w:ascii="Times New Roman" w:hAnsi="Times New Roman"/>
          <w:sz w:val="24"/>
          <w:szCs w:val="24"/>
        </w:rPr>
        <w:t xml:space="preserve">Date: _____________________________</w:t>
      </w:r>
    </w:p>
    <w:p>
      <w:pPr>
        <w:keepNext/>
        <w:widowControl/>
        <w:spacing w:after="160"/>
        <w:jc w:val="both"/>
      </w:pPr>
      <w:r>
        <w:rPr>
          <w:rFonts w:ascii="Times New Roman" w:hAnsi="Times New Roman"/>
          <w:b/>
          <w:sz w:val="24"/>
          <w:szCs w:val="24"/>
        </w:rPr>
        <w:t xml:space="preserve">ACKNOWLEDGED AND AGREED BY MANAGER:</w:t>
      </w:r>
      <w:r>
        <w:rPr>
          <w:rFonts w:ascii="Times New Roman" w:hAnsi="Times New Roman"/>
          <w:b/>
          <w:sz w:val="24"/>
          <w:szCs w:val="24"/>
        </w:rPr>
        <w:t xml:space="preserve">ACKNOWLEDGED AND AGREED BY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Capital allocated by the Company to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CONTRIBUTIONS]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by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[ASSET] | [ASSET VALUE] | [ASSET TO] |</w:t>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that beneficiary does not survive the Member, to </w:t>
      </w:r>
      <w:r>
        <w:rPr>
          <w:rFonts w:ascii="Times New Roman" w:hAnsi="Times New Roman"/>
          <w:b/>
          <w:sz w:val="24"/>
          <w:szCs w:val="24"/>
        </w:rPr>
        <w:t xml:space="preserve">[TOD BACKUP NAME(S)]</w:t>
      </w:r>
      <w:r>
        <w:rPr>
          <w:rFonts w:ascii="Times New Roman" w:hAnsi="Times New Roman"/>
          <w:sz w:val="24"/>
          <w:szCs w:val="24"/>
        </w:rPr>
        <w:t xml:space="preserve">, or if none is designated or the designation fails, the Membership Interest passes as provided by law.</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r>
        <w:rPr>
          <w:rFonts w:ascii="Times New Roman" w:hAnsi="Times New Roman"/>
          <w:b/>
          <w:sz w:val="24"/>
          <w:szCs w:val="24"/>
        </w:rPr>
        <w:t xml:space="preserve">Adopted effective [DATE] by the Company, acting through its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Single Member / Disregarded Entity), v1 draft. Statutory citations verified against Online Sunshine on August 3, 2026: ss. 605.2103, 605.2107, 605.2201, 605.2202, 605.2301, 605.2401, 605.2501, 605.2604, 48.062, 711.50–711.512, Fla. Stat.</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