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 or take any action described in Section 9.3.</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