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1.10A Membership Interest.</w:t>
      </w:r>
      <w:r>
        <w:rPr>
          <w:rFonts w:ascii="Times New Roman" w:hAnsi="Times New Roman"/>
          <w:sz w:val="24"/>
          <w:szCs w:val="24"/>
        </w:rPr>
        <w:t xml:space="preserve"> The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The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the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all members of the Company (which, while the Member is the sole member, means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protected-series managers, which are not varied by this Agreement.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to the Member (or, in the case of a Protected Series, to the Company).</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and distributions in respect of the Company shall be made solely from the Associated Assets of the Company.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the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transfer, re-association, or re-titling of an asset between the Company and a Protected Series or between Protected Series (an "Inter-Series Transfer")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8.6, and the association of the interest shall be established by those records.</w:t>
      </w:r>
    </w:p>
    <w:p>
      <w:pPr>
        <w:keepLines/>
        <w:widowControl/>
        <w:spacing w:after="160"/>
        <w:jc w:val="both"/>
      </w:pPr>
      <w:r>
        <w:rPr>
          <w:rFonts w:ascii="Times New Roman" w:hAnsi="Times New Roman"/>
          <w:b/>
          <w:sz w:val="24"/>
          <w:szCs w:val="24"/>
        </w:rPr>
        <w:t xml:space="preserve">8.6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8.7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Accordingly: (i) every record of the Company or of a Protected Series — this Agreement, each Series Exhibit, each asset schedule, and its account, titling, tax, insurance, and transaction records — may be read together and in combination,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and each Protected Series each be disregarded as an entity separate from the Member for federal income tax purposes, and that all items of income, gain, loss, deduction, and credit be reported directly by the Member. The classification of the Company and of each Protected Series shall in all events be determined under federal tax law as applied to each of them, and nothing in this Agreement constitutes tax advice or a guarantee of any particular tax treatment.</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9.4 Change in Circumstances.</w:t>
      </w:r>
      <w:r>
        <w:rPr>
          <w:rFonts w:ascii="Times New Roman" w:hAnsi="Times New Roman"/>
          <w:sz w:val="24"/>
          <w:szCs w:val="24"/>
        </w:rPr>
        <w:t xml:space="preserve"> If any Protected Series or the Company ceases to qualify for disregarded treatment (including upon the admission of an additional member or the association of an additional person with any Protected Series), the Member and the Manager shall amend this Agreement (or adopt the Company's partnership-form operating agreement) as provided in Article 11 before or promptly upon the change.</w:t>
      </w:r>
    </w:p>
    <w:p>
      <w:pPr>
        <w:keepLines/>
        <w:widowControl/>
        <w:spacing w:after="160"/>
        <w:jc w:val="both"/>
      </w:pPr>
      <w:r>
        <w:rPr>
          <w:rFonts w:ascii="Times New Roman" w:hAnsi="Times New Roman"/>
          <w:b/>
          <w:sz w:val="24"/>
          <w:szCs w:val="24"/>
        </w:rPr>
        <w:t xml:space="preserve">9.5 S Corporation Election.</w:t>
      </w:r>
      <w:r>
        <w:rPr>
          <w:rFonts w:ascii="Times New Roman" w:hAnsi="Times New Roman"/>
          <w:sz w:val="24"/>
          <w:szCs w:val="24"/>
        </w:rPr>
        <w:t xml:space="preserve"> The Member may cause the Company to elect classification as an association taxable as a corporation and S corporation status under section 1362 of the Code. Before or promptly upon making any such election, the Member shall amend and restate this Agreement in the Company's S corporation form of operating agreement, under which all allocations and distributions are made strictly pro rata and every ownership interest confers identical rights to distributions and liquidation proceeds.</w:t>
      </w:r>
    </w:p>
    <w:p>
      <w:pPr>
        <w:keepLines/>
        <w:widowControl/>
        <w:spacing w:after="160"/>
        <w:jc w:val="both"/>
      </w:pPr>
      <w:r>
        <w:rPr>
          <w:rFonts w:ascii="Times New Roman" w:hAnsi="Times New Roman"/>
          <w:sz w:val="24"/>
          <w:szCs w:val="24"/>
        </w:rPr>
        <w:t xml:space="preserve">From the effective date of any such election, and whether or not this Agreement has yet been amended and restated, it is the express intent of the Member that the Company qualify at all times as a small business corporation eligible for a valid election under section 1362 of the Code and that the election remain in effect; any provision of this Agreement, of any Series Exhibit, or of any other agreement relating to the Company or any Protected Series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 If the election nonetheless terminates or is determined to be invalid, the Member shall cooperate to obtain relief for an inadvertent termination or invalid election under section 1362(f) of the Code.</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11.1A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11.2 Successor Agreement.</w:t>
      </w:r>
      <w:r>
        <w:rPr>
          <w:rFonts w:ascii="Times New Roman" w:hAnsi="Times New Roman"/>
          <w:sz w:val="24"/>
          <w:szCs w:val="24"/>
        </w:rPr>
        <w:t xml:space="preserve"> The parties acknowledge that this Agreement is drafted for a Company having a single member and intended disregarded-entity tax treatment. Prior to or promptly upon the admission of an additional member, the members shall amend and restate this Agreement in a form appropriate for multiple members — including provisions for percentages, capital accounts, allocations, and partnership tax administration — and until such amendment and restatement, the default provisions of the Act shall govern the matters this Agreement does not address for multiple members.</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