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If the Company has separately engaged the Filer or its affiliate as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b/>
          <w:sz w:val="24"/>
          <w:szCs w:val="24"/>
        </w:rPr>
        <w:t xml:space="preserve">FLORIDA PROTECTED SERIES, LLC - PS 1</w:t>
      </w:r>
    </w:p>
    <w:p>
      <w:pPr>
        <w:widowControl/>
        <w:spacing w:after="160"/>
        <w:jc w:val="both"/>
      </w:pPr>
      <w:r>
        <w:rPr>
          <w:rFonts w:ascii="Times New Roman" w:hAnsi="Times New Roman"/>
          <w:sz w:val="24"/>
          <w:szCs w:val="24"/>
        </w:rPr>
        <w:t xml:space="preserve">d/b/a MyFloridaSeriesLLC</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By: [SIGNER NAME]</w:t>
      </w:r>
    </w:p>
    <w:p>
      <w:pPr>
        <w:widowControl/>
        <w:spacing w:after="160"/>
        <w:jc w:val="both"/>
      </w:pPr>
      <w:r>
        <w:rPr>
          <w:rFonts w:ascii="Times New Roman" w:hAnsi="Times New Roman"/>
          <w:sz w:val="24"/>
          <w:szCs w:val="24"/>
        </w:rPr>
        <w:t xml:space="preserve">Title: [SIGNER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Form document. Statutory citations: ss. 605.0102(8)(a), 605.0113, 605.0203(1)(b), 605.0205(3),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