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TWELVE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TWELVE TERMS THAT DO REAL WORK</w:t>
      </w:r>
    </w:p>
    <w:p>
      <w:pPr>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Where a series has no associated member, s. 605.2304(2) makes the company its protected-series manager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five share the same skeleton through Article 9. From there the single-member form runs one article shorter, because it needs no transfer article — so its Articles 10 through 13 are the other forms' Articles 11 through 14.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single-member form:</w:t>
            </w:r>
            <w:r>
              <w:rPr>
                <w:rFonts w:ascii="Georgia" w:hAnsi="Georgia"/>
                <w:sz w:val="20"/>
                <w:szCs w:val="20"/>
              </w:rPr>
              <w:t xml:space="preserve"> admission of an additional member. That form has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single-member form,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Chapter 16 is settled law. This chapter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