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Members who hold a Membership Interest jointly as tenants in common may not designate a TOD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