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2.12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2.13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Member shall make, or cause to be made, all tax filings required of the Company or of any Protected Series and may make any tax election the Member determines to be in the Member's best interests,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Member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effective as of the date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widowControl/>
        <w:spacing w:after="160"/>
        <w:jc w:val="both"/>
      </w:pPr>
      <w:r>
        <w:rPr>
          <w:rFonts w:ascii="Times New Roman" w:hAnsi="Times New Roman"/>
          <w:sz w:val="24"/>
          <w:szCs w:val="24"/>
        </w:rPr>
        <w:t xml:space="preserve">Date: _____________________________[MEMBER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Disregarded Entity), v1 draft. Statutory citations verified against Online Sunshine: ss. 605.2103, 605.2107, 605.2201, 605.2202, 605.2301, 605.2303, 605.2304, 605.2401, 605.2501, 605.2604, 605.0302, 605.04074, 48.062, 711.50–711.512,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