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Multiple Members / Partnership Taxation)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2.9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2.10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2.17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2.18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or as joint tenants with right of survivorship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who is an individual may designate any person or entity as a beneficiary. A designation may name a backup beneficiary to take if the first beneficiary does not survive the Member. Members who hold a Membership Interest jointly as tenants in common may not designate a TOD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the Manager,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[MANAGER NAMES].The initial Managers are [MANAGER NAMES].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all Members required by Section 5.4(i),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after="160"/>
        <w:jc w:val="both"/>
      </w:pPr>
      <w:r>
        <w:rPr>
          <w:rFonts w:ascii="Times New Roman" w:hAnsi="Times New Roman"/>
          <w:b/>
          <w:sz w:val="24"/>
          <w:szCs w:val="24"/>
        </w:rPr>
        <w:t xml:space="preserve">5.9 Competition; Other Activities of the Manager. [SELECT THE SAME ALTERNATIVE AS SECTION 4.7]</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widowControl/>
        <w:spacing w:before="240" w:after="200"/>
      </w:pPr>
      <w:r>
        <w:rPr>
          <w:rFonts w:ascii="Times New Roman" w:hAnsi="Times New Roman"/>
          <w:b/>
          <w:sz w:val="26"/>
          <w:szCs w:val="26"/>
        </w:rPr>
        <w:t xml:space="preserve">ARTICLE 6 — CAPITAL; CAPITAL ACCOUNTS</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attributable to the transferred interest. Nothing in this Agreement creates a deficit restoration obligation or otherwise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Manager shall apply this Section so that the allocations have substantial economic effect and shall resolve questions of application consistently and in good faith.</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Manager 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w:t>
      </w:r>
    </w:p>
    <w:p>
      <w:pPr>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Manager (or a person the Manager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The Manager may make, change, or revoke any tax election for the Company or any Protected Series (including an election under section 754 of the Code) that the Manager determines to be in the best interests of the Members as a whole.</w:t>
      </w:r>
    </w:p>
    <w:p>
      <w:pPr>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the Manager selects another permitted year.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account balances; and finally, the balance to the Members in proportion to their Percentage Interests.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 Words in the singular include the plural, and words in the plural include the singular, as the context requires.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date(s) set forth below.</w:t>
      </w:r>
    </w:p>
    <w:p>
      <w:pPr>
        <w:keepNext/>
        <w:widowControl/>
        <w:spacing w:after="160"/>
        <w:jc w:val="both"/>
      </w:pPr>
      <w:r>
        <w:rPr>
          <w:rFonts w:ascii="Times New Roman" w:hAnsi="Times New Roman"/>
          <w:b/>
          <w:sz w:val="24"/>
          <w:szCs w:val="24"/>
        </w:rPr>
        <w:t xml:space="preserve">MEMBERS:</w:t>
      </w:r>
    </w:p>
    <w:p>
      <w:pPr>
        <w:keepNext/>
        <w:widowControl/>
        <w:spacing w:after="160"/>
        <w:jc w:val="both"/>
      </w:pPr>
      <w:r>
        <w:rPr>
          <w:rFonts w:ascii="Times New Roman" w:hAnsi="Times New Roman"/>
          <w:b/>
          <w:sz w:val="24"/>
          <w:szCs w:val="24"/>
        </w:rPr>
        <w:t xml:space="preserve">[UNIT]</w:t>
      </w:r>
    </w:p>
    <w:p>
      <w:pPr>
        <w:widowControl/>
        <w:spacing w:after="160"/>
        <w:jc w:val="both"/>
      </w:pPr>
      <w:r>
        <w:rPr>
          <w:rFonts w:ascii="Times New Roman" w:hAnsi="Times New Roman"/>
          <w:sz w:val="24"/>
          <w:szCs w:val="24"/>
        </w:rPr>
        <w:t xml:space="preserve">[HOLDING]</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keepNext/>
        <w:widowControl/>
        <w:spacing w:after="160"/>
        <w:jc w:val="both"/>
      </w:pPr>
      <w:r>
        <w:rPr>
          <w:rFonts w:ascii="Times New Roman" w:hAnsi="Times New Roman"/>
          <w:sz w:val="24"/>
          <w:szCs w:val="24"/>
        </w:rPr>
        <w:t xml:space="preserve">Date: _____________________________</w:t>
      </w:r>
    </w:p>
    <w:p>
      <w:pPr>
        <w:keepNext/>
        <w:widowControl/>
        <w:spacing w:after="160"/>
        <w:jc w:val="both"/>
      </w:pPr>
      <w:r>
        <w:rPr>
          <w:rFonts w:ascii="Times New Roman" w:hAnsi="Times New Roman"/>
          <w:b/>
          <w:sz w:val="24"/>
          <w:szCs w:val="24"/>
        </w:rPr>
        <w:t xml:space="preserve">ACKNOWLEDGED AND AGREED BY MANAGER:</w:t>
      </w:r>
      <w:r>
        <w:rPr>
          <w:rFonts w:ascii="Times New Roman" w:hAnsi="Times New Roman"/>
          <w:b/>
          <w:sz w:val="24"/>
          <w:szCs w:val="24"/>
        </w:rPr>
        <w:t xml:space="preserve">ACKNOWLEDGED AND AGREED BY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as [HOLDING] | [MEMBER ADDRESS] | [MEMBER SHARE] | [MEMBER CONTRIBUTION] | [MEMBER DATE]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Total</w:t>
      </w:r>
      <w:r>
        <w:rPr>
          <w:rFonts w:ascii="Times New Roman" w:hAnsi="Times New Roman"/>
          <w:sz w:val="24"/>
          <w:szCs w:val="24"/>
        </w:rPr>
        <w:t xml:space="preserve"> | | </w:t>
      </w:r>
      <w:r>
        <w:rPr>
          <w:rFonts w:ascii="Times New Roman" w:hAnsi="Times New Roman"/>
          <w:b/>
          <w:sz w:val="24"/>
          <w:szCs w:val="24"/>
        </w:rPr>
        <w:t xml:space="preserve">100%</w:t>
      </w:r>
      <w:r>
        <w:rPr>
          <w:rFonts w:ascii="Times New Roman" w:hAnsi="Times New Roman"/>
          <w:sz w:val="24"/>
          <w:szCs w:val="24"/>
        </w:rPr>
        <w:t xml:space="preserve"> | | |</w:t>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Contributed by</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[ASSET] | [ASSET VALUE] | [ASSET BY] | [ASSET TO] |</w:t>
      </w:r>
    </w:p>
    <w:p>
      <w:pPr>
        <w:keepNext/>
        <w:widowControl/>
        <w:spacing w:after="160"/>
        <w:jc w:val="both"/>
      </w:pPr>
      <w:r>
        <w:rPr>
          <w:rFonts w:ascii="Times New Roman" w:hAnsi="Times New Roman"/>
          <w:b/>
          <w:sz w:val="24"/>
          <w:szCs w:val="24"/>
        </w:rPr>
        <w:t xml:space="preserve">Allocation of the Company's capital to the Protected Series: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Protected 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Assets allocated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[SERIES] | [CONTRIBUTION] | [SERIES TOTAL]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Retained by the Company</w:t>
      </w:r>
      <w:r>
        <w:rPr>
          <w:rFonts w:ascii="Times New Roman" w:hAnsi="Times New Roman"/>
          <w:sz w:val="24"/>
          <w:szCs w:val="24"/>
        </w:rPr>
        <w:t xml:space="preserve"> | [RETAINED ASSETS] | [RETAINED] |</w:t>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If that beneficiary does not survive the Member</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 [MEMBER TOD] (effective at the death of the last surviving spouse) | [MEMBER TOD BACKUP] |</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including, without limitation, [PURPOSE]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r>
        <w:rPr>
          <w:rFonts w:ascii="Times New Roman" w:hAnsi="Times New Roman"/>
          <w:b/>
          <w:sz w:val="24"/>
          <w:szCs w:val="24"/>
        </w:rPr>
        <w:t xml:space="preserve">Adopted effective [DATE] by the Company, acting through its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Protected Series Manager</w:t>
      </w:r>
    </w:p>
    <w:p>
      <w:pPr>
        <w:widowControl/>
        <w:spacing w:after="160"/>
        <w:jc w:val="both"/>
      </w:pPr>
      <w:r>
        <w:rPr>
          <w:rFonts w:ascii="Times New Roman" w:hAnsi="Times New Roman"/>
          <w:sz w:val="24"/>
          <w:szCs w:val="24"/>
        </w:rPr>
        <w:t xml:space="preserve">[ADOPTER NAME], Protected Series Manager</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Multiple Members / Partnership Taxation), v1 draft. Statutory citations in this form: ss. 48.062, 605.0102, 605.0302, 605.0502, 605.0503, 605.0702, 605.2101, 605.2103, 605.2107, 605.2201, 605.2301, 605.2302, 605.2303, 605.2304, 605.2401, 605.2602, 605.2605, 605.2607, 605.2802, 605.04074, 605.04091, 711.501, 711.512, Fla. Stat.; 11 U.S.C. §365; In re Soderstrom, 484 B.R. 874 (M.D. Fla. 2013).</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