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by the Member, death, or incapacity; the Member may remove and replace the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11.1A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