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(c) make, change, or revoke any election under the Code affecting the classification of the Company or of any Protected Series, or take any action described in Section 9.3.</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