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INSTRUCTIONS FOR USE</w:t>
      </w:r>
    </w:p>
    <w:p>
      <w:pPr>
        <w:keepNext/>
        <w:widowControl/>
        <w:spacing w:before="0" w:after="160"/>
        <w:jc w:val="center"/>
      </w:pPr>
      <w:r>
        <w:rPr>
          <w:rFonts w:ascii="Times New Roman" w:hAnsi="Times New Roman"/>
          <w:b/>
          <w:sz w:val="24"/>
          <w:szCs w:val="24"/>
        </w:rPr>
        <w:t xml:space="preserve">MyFloridaSeriesLLC Operating Agreements</w:t>
      </w:r>
    </w:p>
    <w:p>
      <w:pPr>
        <w:keepNext/>
        <w:widowControl/>
        <w:spacing w:before="0" w:after="160"/>
        <w:jc w:val="center"/>
      </w:pPr>
      <w:r>
        <w:rPr>
          <w:rFonts w:ascii="Times New Roman" w:hAnsi="Times New Roman"/>
          <w:b/>
          <w:sz w:val="24"/>
          <w:szCs w:val="24"/>
        </w:rPr>
        <w:t xml:space="preserve">Florida Protected Series LLC — Form Operating Agreements</w:t>
      </w:r>
    </w:p>
    <w:p>
      <w:pPr>
        <w:keepNext/>
        <w:widowControl/>
        <w:spacing w:before="0" w:after="16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widowControl/>
        <w:spacing w:before="240" w:after="200"/>
        <w:jc w:val="center"/>
      </w:pPr>
      <w:r>
        <w:rPr>
          <w:rFonts w:ascii="Times New Roman" w:hAnsi="Times New Roman"/>
          <w:b/>
          <w:sz w:val="26"/>
          <w:szCs w:val="26"/>
        </w:rPr>
        <w:t xml:space="preserve">1. READ THIS FIRST — The Recordkeeping Warning</w:t>
      </w:r>
    </w:p>
    <w:p>
      <w:pPr>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widowControl/>
        <w:spacing w:after="160"/>
        <w:jc w:val="both"/>
      </w:pPr>
      <w:r>
        <w:rPr>
          <w:rFonts w:ascii="Times New Roman" w:hAnsi="Times New Roman"/>
          <w:sz w:val="24"/>
          <w:szCs w:val="24"/>
        </w:rPr>
        <w:t xml:space="preserve">In practice:</w:t>
      </w:r>
    </w:p>
    <w:p>
      <w:pPr>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Owning assets at the series level, with clean records, is the whole point of the structure.</w:t>
      </w:r>
    </w:p>
    <w:p>
      <w:pPr>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widowControl/>
        <w:spacing w:after="160"/>
        <w:jc w:val="both"/>
      </w:pPr>
      <w:r>
        <w:rPr>
          <w:rFonts w:ascii="Times New Roman" w:hAnsi="Times New Roman"/>
          <w:sz w:val="24"/>
          <w:szCs w:val="24"/>
        </w:rPr>
        <w:t xml:space="preserve">The free MyFloridaSeriesLLC recordkeeping app and the Series LLC User's Manual included with your formation package are built around these requirements.</w:t>
      </w:r>
    </w:p>
    <w:p>
      <w:pPr>
        <w:keepNext/>
        <w:widowControl/>
        <w:spacing w:before="240" w:after="20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you (or someone you appoint) manage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Member-Managed — Multiple Members </w:t>
            </w:r>
            <w:r>
              <w:rPr>
                <w:rFonts w:ascii="Times New Roman" w:hAnsi="Times New Roman"/>
                <w:i/>
                <w:sz w:val="22"/>
                <w:szCs w:val="22"/>
              </w:rPr>
              <w:t xml:space="preserve">(coming)</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you start with the single-member form and later add an owner, adopt the multi-member form at that time — the two forms handle taxes, voting, and creditor protection differently, and the single-member form is not built for two owners.</w:t>
      </w:r>
    </w:p>
    <w:p>
      <w:pPr>
        <w:keepNext/>
        <w:widowControl/>
        <w:spacing w:before="240" w:after="200"/>
        <w:jc w:val="center"/>
      </w:pPr>
      <w:r>
        <w:rPr>
          <w:rFonts w:ascii="Times New Roman" w:hAnsi="Times New Roman"/>
          <w:b/>
          <w:sz w:val="26"/>
          <w:szCs w:val="26"/>
        </w:rPr>
        <w:t xml:space="preserve">3. Filling in the Blanks</w:t>
      </w:r>
    </w:p>
    <w:p>
      <w:pPr>
        <w:keepNext/>
        <w:widowControl/>
        <w:spacing w:after="160"/>
        <w:jc w:val="both"/>
      </w:pPr>
      <w:r>
        <w:rPr>
          <w:rFonts w:ascii="Times New Roman" w:hAnsi="Times New Roman"/>
          <w:sz w:val="24"/>
          <w:szCs w:val="24"/>
        </w:rPr>
        <w:t xml:space="preserve">Every blank appears in [BRACKETS]. Complete all of them:</w:t>
      </w:r>
    </w:p>
    <w:p>
      <w:pPr>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widowControl/>
        <w:spacing w:after="160"/>
        <w:jc w:val="both"/>
      </w:pPr>
      <w:r>
        <w:rPr>
          <w:rFonts w:ascii="Times New Roman" w:hAnsi="Times New Roman"/>
          <w:b/>
          <w:sz w:val="24"/>
          <w:szCs w:val="24"/>
        </w:rPr>
        <w:t xml:space="preserve">[MANAGER NAME]</w:t>
      </w:r>
      <w:r>
        <w:rPr>
          <w:rFonts w:ascii="Times New Roman" w:hAnsi="Times New Roman"/>
          <w:sz w:val="24"/>
          <w:szCs w:val="24"/>
        </w:rPr>
        <w:t xml:space="preserve"> — the manager. The manager does not have to be an owner.</w:t>
      </w:r>
    </w:p>
    <w:p>
      <w:pPr>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§5.4(f)) — the dollar amount of debt the manager may incur without the written consent of every owner. Above this number, any one owner can refuse. Common choices: $10,000–$50,000 for small companies.</w:t>
      </w:r>
    </w:p>
    <w:p>
      <w:pPr>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widowControl/>
        <w:spacing w:before="240" w:after="200"/>
        <w:jc w:val="center"/>
      </w:pPr>
      <w:r>
        <w:rPr>
          <w:rFonts w:ascii="Times New Roman" w:hAnsi="Times New Roman"/>
          <w:b/>
          <w:sz w:val="26"/>
          <w:szCs w:val="26"/>
        </w:rPr>
        <w:t xml:space="preserve">4. Completing a Series Exhibit</w:t>
      </w:r>
    </w:p>
    <w:p>
      <w:pPr>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widowControl/>
        <w:spacing w:before="240" w:after="200"/>
        <w:jc w:val="center"/>
      </w:pPr>
      <w:r>
        <w:rPr>
          <w:rFonts w:ascii="Times New Roman" w:hAnsi="Times New Roman"/>
          <w:b/>
          <w:sz w:val="26"/>
          <w:szCs w:val="26"/>
        </w:rPr>
        <w:t xml:space="preserve">5. Optional Provisions (Multi-Member Form)</w:t>
      </w:r>
    </w:p>
    <w:p>
      <w:pPr>
        <w:widowControl/>
        <w:spacing w:after="160"/>
        <w:jc w:val="both"/>
      </w:pPr>
      <w:r>
        <w:rPr>
          <w:rFonts w:ascii="Times New Roman" w:hAnsi="Times New Roman"/>
          <w:sz w:val="24"/>
          <w:szCs w:val="24"/>
        </w:rPr>
        <w:t xml:space="preserve">The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Decide before signing.</w:t>
      </w:r>
    </w:p>
    <w:p>
      <w:pPr>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where you keep the alternative you selected and delete the other alternative's paragraph entirely — the section number stays 4.7 either way. Also delete the bracketed instruction notes themselves (the italicized text in parentheses) from the final document.</w:t>
      </w:r>
    </w:p>
    <w:p>
      <w:pPr>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a majority of owners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w:t>
      </w:r>
    </w:p>
    <w:p>
      <w:pPr>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For companies that can split 50/50 (two equal owners, or two equal factions), a deadlock otherwise has no exit short of a lawsuit to dissolve the company. The shotgun works like cutting a cake: after a 60-day deadlock, either substantial owner may name a single price for the whole company; the </w:t>
      </w:r>
      <w:r>
        <w:rPr>
          <w:rFonts w:ascii="Times New Roman" w:hAnsi="Times New Roman"/>
          <w:i/>
          <w:sz w:val="24"/>
          <w:szCs w:val="24"/>
        </w:rPr>
        <w:t xml:space="preserve">other</w:t>
      </w:r>
      <w:r>
        <w:rPr>
          <w:rFonts w:ascii="Times New Roman" w:hAnsi="Times New Roman"/>
          <w:sz w:val="24"/>
          <w:szCs w:val="24"/>
        </w:rPr>
        <w:t xml:space="preserve"> side then chooses whether to buy or sell at that price. Naming the price honestly is self-enforcing — name it too low and you get bought out cheap; too high and you overpay. </w:t>
      </w:r>
      <w:r>
        <w:rPr>
          <w:rFonts w:ascii="Times New Roman" w:hAnsi="Times New Roman"/>
          <w:b/>
          <w:sz w:val="24"/>
          <w:szCs w:val="24"/>
        </w:rPr>
        <w:t xml:space="preserve">Caution:</w:t>
      </w:r>
      <w:r>
        <w:rPr>
          <w:rFonts w:ascii="Times New Roman" w:hAnsi="Times New Roman"/>
          <w:sz w:val="24"/>
          <w:szCs w:val="24"/>
        </w:rPr>
        <w:t xml:space="preserve"> the mechanism favors the owner with more cash, since the poorer side may be forced to sell even at a fair price. To omit it, replace the text of §13.2 with "[Reserved.]". Omit it if ownership is not evenly split (a majority can always outvote a deadlock) or if the owners' finances are badly mismatched.</w:t>
      </w:r>
    </w:p>
    <w:p>
      <w:pPr>
        <w:keepNext/>
        <w:widowControl/>
        <w:spacing w:before="240" w:after="200"/>
        <w:jc w:val="center"/>
      </w:pPr>
      <w:r>
        <w:rPr>
          <w:rFonts w:ascii="Times New Roman" w:hAnsi="Times New Roman"/>
          <w:b/>
          <w:sz w:val="26"/>
          <w:szCs w:val="26"/>
        </w:rPr>
        <w:t xml:space="preserve">6. Transfer-on-Death Designations</w:t>
      </w:r>
    </w:p>
    <w:p>
      <w:pPr>
        <w:widowControl/>
        <w:spacing w:after="160"/>
        <w:jc w:val="both"/>
      </w:pPr>
      <w:r>
        <w:rPr>
          <w:rFonts w:ascii="Times New Roman" w:hAnsi="Times New Roman"/>
          <w:sz w:val="24"/>
          <w:szCs w:val="24"/>
        </w:rPr>
        <w:t xml:space="preserve">Both forms let each owner register a transfer-on-death (TOD) beneficiary on Exhibit A, using Florida's registration-in-beneficiary-form statute (ss. 711.50–711.512). At the owner's death, the designated beneficiary takes the interest directly — no probate — subject to the agreement. Any person or entity may be designated. In the multi-member form, a beneficiary who is a close family member of the deceased owner becomes a full member upon signing a joinder; any other beneficiary automatically receives the economic interest (distributions) but becomes a voting member only with the consent of a majority of the other members — death does not bypass the same controls that govern lifetime transfers.</w:t>
      </w:r>
    </w:p>
    <w:p>
      <w:pPr>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(§4.6 in the single-member form) exactly — a signed writing, two witnesses, delivered to the manager. A will does not override a TOD registration.</w:t>
      </w:r>
    </w:p>
    <w:p>
      <w:pPr>
        <w:keepNext/>
        <w:widowControl/>
        <w:spacing w:before="240" w:after="200"/>
        <w:jc w:val="center"/>
      </w:pPr>
      <w:r>
        <w:rPr>
          <w:rFonts w:ascii="Times New Roman" w:hAnsi="Times New Roman"/>
          <w:b/>
          <w:sz w:val="26"/>
          <w:szCs w:val="26"/>
        </w:rPr>
        <w:t xml:space="preserve">7. The Executory Contract Article (Multi-Member Article 11)</w:t>
      </w:r>
    </w:p>
    <w:p>
      <w:pPr>
        <w:widowControl/>
        <w:spacing w:after="160"/>
        <w:jc w:val="both"/>
      </w:pPr>
      <w:r>
        <w:rPr>
          <w:rFonts w:ascii="Times New Roman" w:hAnsi="Times New Roman"/>
          <w:sz w:val="24"/>
          <w:szCs w:val="24"/>
        </w:rPr>
        <w:t xml:space="preserve">Article 11 is bankruptcy armor. It frames the agreement as a contract with ongoing, unperformed duties owed by every member — capital calls (if §6.2 is included), participation in governance, noncompetition (if Alternative A is selected), confidentiality, and non-disparagement — and, citing Florida bankruptcy precedent, takes the position that a bankruptcy trustee for one member cannot take over or sell that member's interest without the other members' consent. Together with the charging-order provision (§10.6), it is designed to keep a co-owner's personal bankruptcy or judgment creditor from putting a stranger in your company.</w:t>
      </w:r>
    </w:p>
    <w:p>
      <w:pPr>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widowControl/>
        <w:spacing w:before="240" w:after="200"/>
        <w:jc w:val="center"/>
      </w:pPr>
      <w:r>
        <w:rPr>
          <w:rFonts w:ascii="Times New Roman" w:hAnsi="Times New Roman"/>
          <w:b/>
          <w:sz w:val="26"/>
          <w:szCs w:val="26"/>
        </w:rPr>
        <w:t xml:space="preserve">8. Signing, Storing, and Changing the Agreement</w:t>
      </w:r>
    </w:p>
    <w:p>
      <w:pPr>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and acknowledged by the manager before the company does business, and a Series Exhibit should be adopted no later than each series' designation is filed.</w:t>
      </w:r>
    </w:p>
    <w:p>
      <w:pPr>
        <w:widowControl/>
        <w:spacing w:after="160"/>
        <w:jc w:val="both"/>
      </w:pPr>
      <w:r>
        <w:rPr>
          <w:rFonts w:ascii="Times New Roman" w:hAnsi="Times New Roman"/>
          <w:b/>
          <w:sz w:val="24"/>
          <w:szCs w:val="24"/>
        </w:rPr>
        <w:t xml:space="preserve">Delete the draft footer</w:t>
      </w:r>
      <w:r>
        <w:rPr>
          <w:rFonts w:ascii="Times New Roman" w:hAnsi="Times New Roman"/>
          <w:sz w:val="24"/>
          <w:szCs w:val="24"/>
        </w:rPr>
        <w:t xml:space="preserve"> (the italicized line at the end of the form) and these instructions' cover references before signing. The signed agreement should contain only the agreement.</w:t>
      </w:r>
    </w:p>
    <w:p>
      <w:pPr>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 by the sole member (single-member form) or by all members (multi-member form; Series Exhibits amend with the consent of that series' associated members and the manager). Oral side-deals have no effect and undermine the structure.</w:t>
      </w:r>
    </w:p>
    <w:p>
      <w:pPr>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widowControl/>
        <w:spacing w:after="160"/>
        <w:jc w:val="both"/>
      </w:pPr>
      <w:r>
        <w:rPr>
          <w:rFonts w:ascii="Times New Roman" w:hAnsi="Times New Roman"/>
          <w:i/>
          <w:sz w:val="24"/>
          <w:szCs w:val="24"/>
        </w:rPr>
        <w:t xml:space="preserve">Instructions v1 — accompanies the MyFloridaSeriesLLC Operating Agreement forms (Manager-Managed Single Member; Manager-Managed Multi-Member).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