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159 paragraphs identical · 59 changed · 5 only in the first · 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&lt;!-- one:manager --&gt;The initial Manager is [MANAGER NAMES].&lt;!-- /one --&gt;&lt;!-- many:manager --&gt;The initial Managers are [MANAGER NAMES].&lt;!-- /many --&gt;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Contribution Records; Identical Rights.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S Corporation Status.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Protecting the Election.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9.4 S Corporation Status; Intent; Savings Clause.</w:t>
      </w:r>
    </w:p>
    <w:p>
      <w:pPr>
        <w:keepLines/>
        <w:widowControl/>
        <w:spacing w:after="160"/>
        <w:jc w:val="both"/>
      </w:pPr>
      <w:r>
        <w:rPr>
          <w:rFonts w:ascii="Times New Roman" w:hAnsi="Times New Roman"/>
          <w:sz w:val="24"/>
          <w:szCs w:val="24"/>
        </w:rPr>
        <w:t xml:space="preserve">(a) Intent.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sz w:val="24"/>
          <w:szCs w:val="24"/>
        </w:rPr>
        <w:t xml:space="preserve">(f) Relief for inadvertent termination. If the election nonetheless terminates or is determined to be invalid,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cooperate to obtain relief for an inadvertent termination or invalid election under section 1362(f) of the Code, including making the adjustments and taking the actions the Internal Revenue Service may require. </w:t>
      </w:r>
    </w:p>
    <w:p>
      <w:pPr>
        <w:keepLines/>
        <w:widowControl/>
        <w:spacing w:after="160"/>
        <w:jc w:val="both"/>
      </w:pPr>
      <w:r>
        <w:rPr>
          <w:rFonts w:ascii="Times New Roman" w:hAnsi="Times New Roman"/>
          <w:sz w:val="24"/>
          <w:szCs w:val="24"/>
        </w:rPr>
        <w:t xml:space="preserve">9.5 Other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other tax election for the Company or any Protected Series that is consistent with maintaining the S corporation election and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9.6 Fiscal Year. The fiscal year of the Company and of each Protected Series is the calendar year unless another year is permitted for an S corporation under section 1378 of the Code and selected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Obligation to Contribute; Recourse Limited.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[MANAGER NAME], Manager</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[CONTRIBUTION]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color w:val="0645AD"/>
          <w:u w:val="single"/>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v1 draft. Statutory citations verified against Online Sunshine on August 3, 2026: ss. 605.2103, 605.2107, 605.2201, 605.2202, 605.2301, 605.2401, 605.2501, 605.2604, 605.0502, 605.0503, 605.04091, 48.062, 711.50–711.512, Fla. Stat.; 11 U.S.C. §365; In re Soderstrom, 484 B.R. 874 (M.D. Fla. 2013).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