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(Manager-Managed — Single Member)</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 and is acknowledged by the undersigned manager (the "Manager").</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 is the sole member of the Company, and intends by this Agreement to set forth the terms governing the Company, each Protected Series designated by the Company, and the relations among the Company, each Protected Series, the Member, and the Manager.</w:t>
      </w:r>
    </w:p>
    <w:p>
      <w:pPr>
        <w:keepNext/>
        <w:keepLines/>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1.11 Membership Interest.</w:t>
      </w:r>
      <w:r>
        <w:rPr>
          <w:rFonts w:ascii="Times New Roman" w:hAnsi="Times New Roman"/>
          <w:sz w:val="24"/>
          <w:szCs w:val="24"/>
        </w:rPr>
        <w:t xml:space="preserve"> The Member's interest in the Company is personal property for all purposes.</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"Manager"</w:t>
      </w:r>
      <w:r>
        <w:rPr>
          <w:rFonts w:ascii="Times New Roman" w:hAnsi="Times New Roman"/>
          <w:sz w:val="24"/>
          <w:szCs w:val="24"/>
        </w:rPr>
        <w:t xml:space="preserve"> means the person named in Section 5.1 and any successor designated under this Agreement.</w:t>
      </w:r>
    </w:p>
    <w:p>
      <w:pPr>
        <w:keepLines/>
        <w:widowControl/>
        <w:spacing w:after="160"/>
        <w:jc w:val="both"/>
      </w:pPr>
      <w:r>
        <w:rPr>
          <w:rFonts w:ascii="Times New Roman" w:hAnsi="Times New Roman"/>
          <w:b/>
          <w:sz w:val="24"/>
          <w:szCs w:val="24"/>
        </w:rPr>
        <w:t xml:space="preserve">2.8 "Member"</w:t>
      </w:r>
      <w:r>
        <w:rPr>
          <w:rFonts w:ascii="Times New Roman" w:hAnsi="Times New Roman"/>
          <w:sz w:val="24"/>
          <w:szCs w:val="24"/>
        </w:rPr>
        <w:t xml:space="preserve"> means the person identified as such on Exhibit A and any successor admitted in accordance with this Agreement.</w:t>
      </w:r>
    </w:p>
    <w:p>
      <w:pPr>
        <w:keepLines/>
        <w:widowControl/>
        <w:spacing w:after="160"/>
        <w:jc w:val="both"/>
      </w:pPr>
      <w:r>
        <w:rPr>
          <w:rFonts w:ascii="Times New Roman" w:hAnsi="Times New Roman"/>
          <w:b/>
          <w:sz w:val="24"/>
          <w:szCs w:val="24"/>
        </w:rPr>
        <w:t xml:space="preserve">2.9 "Membership Interest"</w:t>
      </w:r>
      <w:r>
        <w:rPr>
          <w:rFonts w:ascii="Times New Roman" w:hAnsi="Times New Roman"/>
          <w:sz w:val="24"/>
          <w:szCs w:val="24"/>
        </w:rPr>
        <w:t xml:space="preserve"> means the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b/>
          <w:sz w:val="24"/>
          <w:szCs w:val="24"/>
        </w:rPr>
        <w:t xml:space="preserve">2.10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2.11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2.12 "Protected Series Manager"</w:t>
      </w:r>
      <w:r>
        <w:rPr>
          <w:rFonts w:ascii="Times New Roman" w:hAnsi="Times New Roman"/>
          <w:sz w:val="24"/>
          <w:szCs w:val="24"/>
        </w:rPr>
        <w:t xml:space="preserve"> means the person responsible for management of a Protected Series under Section 5.2.</w:t>
      </w:r>
    </w:p>
    <w:p>
      <w:pPr>
        <w:keepLines/>
        <w:widowControl/>
        <w:spacing w:after="160"/>
        <w:jc w:val="both"/>
      </w:pPr>
      <w:r>
        <w:rPr>
          <w:rFonts w:ascii="Times New Roman" w:hAnsi="Times New Roman"/>
          <w:b/>
          <w:sz w:val="24"/>
          <w:szCs w:val="24"/>
        </w:rPr>
        <w:t xml:space="preserve">2.13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keepLines/>
        <w:widowControl/>
        <w:spacing w:after="160"/>
        <w:jc w:val="both"/>
      </w:pPr>
      <w:r>
        <w:rPr>
          <w:rFonts w:ascii="Times New Roman" w:hAnsi="Times New Roman"/>
          <w:b/>
          <w:sz w:val="24"/>
          <w:szCs w:val="24"/>
        </w:rPr>
        <w:t xml:space="preserve">2.14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and the Manager shall adopt a Series Exhibit for the new Protected Series. The Manager is authorized to execute and file each Protected Series Designation the Member approves. Each Protected Series shall be established without Associated Members.</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the Member, and from the Manager;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The Member and the Manager are not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Next/>
        <w:keepLines/>
        <w:widowControl/>
        <w:spacing w:before="240" w:after="0"/>
      </w:pPr>
      <w:r>
        <w:rPr>
          <w:rFonts w:ascii="Times New Roman" w:hAnsi="Times New Roman"/>
          <w:b/>
          <w:sz w:val="26"/>
          <w:szCs w:val="26"/>
        </w:rPr>
        <w:t xml:space="preserve">ARTICLE 4 — THE MEMBER; MEMBERSHIP INTEREST</w:t>
      </w:r>
    </w:p>
    <w:p>
      <w:pPr>
        <w:keepLines/>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Membership interests are of a single class and are expressed as percentages; no certificates shall be issued unless the Manager determines otherwise.</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keepLines/>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keepLines/>
        <w:widowControl/>
        <w:spacing w:after="160"/>
        <w:jc w:val="both"/>
      </w:pPr>
      <w:r>
        <w:rPr>
          <w:rFonts w:ascii="Times New Roman" w:hAnsi="Times New Roman"/>
          <w:b/>
          <w:sz w:val="24"/>
          <w:szCs w:val="24"/>
        </w:rPr>
        <w:t xml:space="preserve">4.4 No Agency by Status.</w:t>
      </w:r>
      <w:r>
        <w:rPr>
          <w:rFonts w:ascii="Times New Roman" w:hAnsi="Times New Roman"/>
          <w:sz w:val="24"/>
          <w:szCs w:val="24"/>
        </w:rPr>
        <w:t xml:space="preserve"> The Member is not an agent of the Company or of any Protected Series solely by reason of being a member.</w:t>
      </w:r>
    </w:p>
    <w:p>
      <w:pPr>
        <w:keepLines/>
        <w:widowControl/>
        <w:spacing w:after="160"/>
        <w:jc w:val="both"/>
      </w:pPr>
      <w:r>
        <w:rPr>
          <w:rFonts w:ascii="Times New Roman" w:hAnsi="Times New Roman"/>
          <w:b/>
          <w:sz w:val="24"/>
          <w:szCs w:val="24"/>
        </w:rPr>
        <w:t xml:space="preserve">4.5 Other Activities.</w:t>
      </w:r>
      <w:r>
        <w:rPr>
          <w:rFonts w:ascii="Times New Roman" w:hAnsi="Times New Roman"/>
          <w:sz w:val="24"/>
          <w:szCs w:val="24"/>
        </w:rPr>
        <w:t xml:space="preserve"> The Member and the Manager may engage in or possess interests in other business ventures of any nature, independently or with others, and neither the Company nor any Protected Series shall have any right in such ventures by virtue of this Agreement.</w:t>
      </w:r>
    </w:p>
    <w:p>
      <w:pPr>
        <w:keepLines/>
        <w:widowControl/>
        <w:spacing w:after="160"/>
        <w:jc w:val="both"/>
      </w:pPr>
      <w:r>
        <w:rPr>
          <w:rFonts w:ascii="Times New Roman" w:hAnsi="Times New Roman"/>
          <w:b/>
          <w:sz w:val="24"/>
          <w:szCs w:val="24"/>
        </w:rPr>
        <w:t xml:space="preserve">4.6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The Member may designate any person or entity as a beneficiary. The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keepNext/>
        <w:keepLines/>
        <w:widowControl/>
        <w:spacing w:before="240" w:after="0"/>
      </w:pPr>
      <w:r>
        <w:rPr>
          <w:rFonts w:ascii="Times New Roman" w:hAnsi="Times New Roman"/>
          <w:b/>
          <w:sz w:val="26"/>
          <w:szCs w:val="26"/>
        </w:rPr>
        <w:t xml:space="preserve">ARTICLE 5 — MANAGEMENT</w:t>
      </w:r>
    </w:p>
    <w:p>
      <w:pPr>
        <w:keepLines/>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[MANAGER APPOINTMENT]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by the Member, death, or incapacity; the Member may remove and replace a Manager, appoint an additional Manager, and shall fill any vacancy, by a signed writing delivered to the Company. If a Manager ceases to serve as Manager for any reason, the remaining Managers shall continue to serve.</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w:t>
      </w:r>
    </w:p>
    <w:p>
      <w:pPr>
        <w:keepLines/>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Lines/>
        <w:widowControl/>
        <w:spacing w:after="160"/>
        <w:jc w:val="both"/>
      </w:pPr>
      <w:r>
        <w:rPr>
          <w:rFonts w:ascii="Times New Roman" w:hAnsi="Times New Roman"/>
          <w:b/>
          <w:sz w:val="24"/>
          <w:szCs w:val="24"/>
        </w:rPr>
        <w:t xml:space="preserve">5.4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protected-series managers. No Manager or Protected Series Manager shall be liable to the Company, any Protected Series, or the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5.5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5.6 Compensation; Reimbursement; Shared Expenses.</w:t>
      </w:r>
      <w:r>
        <w:rPr>
          <w:rFonts w:ascii="Times New Roman" w:hAnsi="Times New Roman"/>
          <w:sz w:val="24"/>
          <w:szCs w:val="24"/>
        </w:rPr>
        <w:t xml:space="preserve"> The Manager shall serve without salary unless the Member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keepLines/>
        <w:widowControl/>
        <w:spacing w:after="160"/>
        <w:jc w:val="both"/>
      </w:pPr>
      <w:r>
        <w:rPr>
          <w:rFonts w:ascii="Times New Roman" w:hAnsi="Times New Roman"/>
          <w:b/>
          <w:sz w:val="24"/>
          <w:szCs w:val="24"/>
        </w:rPr>
        <w:t xml:space="preserve">5.7 Statement of Authority.</w:t>
      </w:r>
      <w:r>
        <w:rPr>
          <w:rFonts w:ascii="Times New Roman" w:hAnsi="Times New Roman"/>
          <w:sz w:val="24"/>
          <w:szCs w:val="24"/>
        </w:rPr>
        <w:t xml:space="preserve">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Next/>
        <w:keepLines/>
        <w:widowControl/>
        <w:spacing w:before="240" w:after="0"/>
      </w:pPr>
      <w:r>
        <w:rPr>
          <w:rFonts w:ascii="Times New Roman" w:hAnsi="Times New Roman"/>
          <w:b/>
          <w:sz w:val="26"/>
          <w:szCs w:val="26"/>
        </w:rPr>
        <w:t xml:space="preserve">ARTICLE 6 — CAPITAL</w:t>
      </w:r>
    </w:p>
    <w:p>
      <w:pPr>
        <w:keepLines/>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keepLines/>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keepLines/>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DISTRIBUTIONS</w:t>
      </w:r>
    </w:p>
    <w:p>
      <w:pPr>
        <w:keepLines/>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to the Member (or, in the case of a Protected Series, to the Company).</w:t>
      </w:r>
    </w:p>
    <w:p>
      <w:pPr>
        <w:keepLines/>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w:t>
      </w:r>
      <w:r>
        <w:rPr>
          <w:rFonts w:ascii="Times New Roman" w:hAnsi="Times New Roman"/>
          <w:sz w:val="24"/>
          <w:szCs w:val="24"/>
        </w:rPr>
        <w:t xml:space="preserve">, and distributions in respect of the Company shall be made solely from the Associated Assets of the Company. Each distribution shall be recorded in the records maintained under Article 8, identifying its source.</w:t>
      </w:r>
    </w:p>
    <w:p>
      <w:pPr>
        <w:keepNext/>
        <w:keepLines/>
        <w:widowControl/>
        <w:spacing w:before="240" w:after="0"/>
      </w:pPr>
      <w:r>
        <w:rPr>
          <w:rFonts w:ascii="Times New Roman" w:hAnsi="Times New Roman"/>
          <w:b/>
          <w:sz w:val="26"/>
          <w:szCs w:val="26"/>
        </w:rPr>
        <w:t xml:space="preserve">ARTICLE 8 — RECORDS</w:t>
      </w:r>
    </w:p>
    <w:p>
      <w:pPr>
        <w:keepLines/>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or the Manager other than under an arrangement documented under this Section.</w:t>
      </w:r>
    </w:p>
    <w:p>
      <w:pPr>
        <w:keepLines/>
        <w:widowControl/>
        <w:spacing w:after="160"/>
        <w:jc w:val="both"/>
      </w:pPr>
      <w:r>
        <w:rPr>
          <w:rFonts w:ascii="Times New Roman" w:hAnsi="Times New Roman"/>
          <w:b/>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and each Protected Series each be disregarded as an entity separate from the Member for federal income tax purposes, and that all items of income, gain, loss, deduction, and credit be reported directly by the Member.</w:t>
      </w:r>
    </w:p>
    <w:p>
      <w:pPr>
        <w:keepLines/>
        <w:widowControl/>
        <w:spacing w:after="160"/>
        <w:jc w:val="both"/>
      </w:pPr>
      <w:r>
        <w:rPr>
          <w:rFonts w:ascii="Times New Roman" w:hAnsi="Times New Roman"/>
          <w:b/>
          <w:sz w:val="24"/>
          <w:szCs w:val="24"/>
        </w:rPr>
        <w:t xml:space="preserve">9.2 Tax Filings and Elections.</w:t>
      </w:r>
      <w:r>
        <w:rPr>
          <w:rFonts w:ascii="Times New Roman" w:hAnsi="Times New Roman"/>
          <w:sz w:val="24"/>
          <w:szCs w:val="24"/>
        </w:rPr>
        <w:t xml:space="preserve"> The Manager shall make, or cause to be made, all tax filings required of the Company or of any Protected Series and may make any tax election the Manager determines to be in the best interests of the Member, consistent with Section 9.1.</w:t>
      </w:r>
    </w:p>
    <w:p>
      <w:pPr>
        <w:keepLines/>
        <w:widowControl/>
        <w:spacing w:after="160"/>
        <w:jc w:val="both"/>
      </w:pPr>
      <w:r>
        <w:rPr>
          <w:rFonts w:ascii="Times New Roman" w:hAnsi="Times New Roman"/>
          <w:b/>
          <w:sz w:val="24"/>
          <w:szCs w:val="24"/>
        </w:rPr>
        <w:t xml:space="preserve">9.3 Fiscal Year.</w:t>
      </w:r>
      <w:r>
        <w:rPr>
          <w:rFonts w:ascii="Times New Roman" w:hAnsi="Times New Roman"/>
          <w:sz w:val="24"/>
          <w:szCs w:val="24"/>
        </w:rPr>
        <w:t xml:space="preserve"> The fiscal year of the Company and of each Protected Series is the calendar year unless the Manager selects another permitted year.</w:t>
      </w:r>
    </w:p>
    <w:p>
      <w:pPr>
        <w:keepLines/>
        <w:widowControl/>
        <w:spacing w:after="160"/>
        <w:jc w:val="both"/>
      </w:pPr>
      <w:r>
        <w:rPr>
          <w:rFonts w:ascii="Times New Roman" w:hAnsi="Times New Roman"/>
          <w:b/>
          <w:sz w:val="24"/>
          <w:szCs w:val="24"/>
        </w:rPr>
        <w:t xml:space="preserve">9.4 Change in Circumstances.</w:t>
      </w:r>
      <w:r>
        <w:rPr>
          <w:rFonts w:ascii="Times New Roman" w:hAnsi="Times New Roman"/>
          <w:sz w:val="24"/>
          <w:szCs w:val="24"/>
        </w:rPr>
        <w:t xml:space="preserve"> If any Protected Series or the Company ceases to qualify for disregarded treatment (including upon the admission of an additional member or the association of an additional person with any Protected Series), the Member and the Manager shall amend this Agreement (or adopt the Company's partnership-form operating agreement) as provided in Article 11 before or promptly upon the change.</w:t>
      </w:r>
    </w:p>
    <w:p>
      <w:pPr>
        <w:keepNext/>
        <w:keepLines/>
        <w:widowControl/>
        <w:spacing w:before="240" w:after="0"/>
      </w:pPr>
      <w:r>
        <w:rPr>
          <w:rFonts w:ascii="Times New Roman" w:hAnsi="Times New Roman"/>
          <w:b/>
          <w:sz w:val="26"/>
          <w:szCs w:val="26"/>
        </w:rPr>
        <w:t xml:space="preserve">ARTICLE 10 — TRANSFERS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The Member shall not Transfer all or any portion of the Membership Interest, or any right to receive distributions from the Company or any Protected Series, except (a) a Transfer to an Immediate Family Member made in compliance with Section 10.2, (b) a Transfer effective at death pursuant to the TOD designation under Section 4.6, or (c) another Transfer approved in writing by the Member and reflected in an amendment to Exhibit A.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the Membership Interest to an Immediate Family Member is permitted, provided the transferee delivers to the Company a signed agreement to be bound by this Agreement. A transferee (other than a person admitted as a member under Section 11.1) holds only the transferable interest — the right to receive distributions that would otherwise be paid to the Member with respect to the transferred interest — and has no right to participate in management, to inspect records, or to exercise any other right of a member.</w:t>
      </w:r>
    </w:p>
    <w:p>
      <w:pPr>
        <w:keepLines/>
        <w:widowControl/>
        <w:spacing w:after="160"/>
        <w:jc w:val="both"/>
      </w:pPr>
      <w:r>
        <w:rPr>
          <w:rFonts w:ascii="Times New Roman" w:hAnsi="Times New Roman"/>
          <w:b/>
          <w:sz w:val="24"/>
          <w:szCs w:val="24"/>
        </w:rPr>
        <w:t xml:space="preserve">10.3 No Dissociation by Transfer Alone.</w:t>
      </w:r>
      <w:r>
        <w:rPr>
          <w:rFonts w:ascii="Times New Roman" w:hAnsi="Times New Roman"/>
          <w:sz w:val="24"/>
          <w:szCs w:val="24"/>
        </w:rPr>
        <w:t xml:space="preserve"> A Transfer does not by itself dissociate the Member or dissolve the Company or any Protected Series.</w:t>
      </w:r>
    </w:p>
    <w:p>
      <w:pPr>
        <w:keepNext/>
        <w:keepLines/>
        <w:widowControl/>
        <w:spacing w:before="240" w:after="0"/>
      </w:pPr>
      <w:r>
        <w:rPr>
          <w:rFonts w:ascii="Times New Roman" w:hAnsi="Times New Roman"/>
          <w:b/>
          <w:sz w:val="26"/>
          <w:szCs w:val="26"/>
        </w:rPr>
        <w:t xml:space="preserve">ARTICLE 11 — ADMISSION OF ADDITIONAL MEMBERS</w:t>
      </w:r>
    </w:p>
    <w:p>
      <w:pPr>
        <w:keepLines/>
        <w:widowControl/>
        <w:spacing w:after="160"/>
        <w:jc w:val="both"/>
      </w:pPr>
      <w:r>
        <w:rPr>
          <w:rFonts w:ascii="Times New Roman" w:hAnsi="Times New Roman"/>
          <w:b/>
          <w:sz w:val="24"/>
          <w:szCs w:val="24"/>
        </w:rPr>
        <w:t xml:space="preserve">11.1 Admission.</w:t>
      </w:r>
      <w:r>
        <w:rPr>
          <w:rFonts w:ascii="Times New Roman" w:hAnsi="Times New Roman"/>
          <w:sz w:val="24"/>
          <w:szCs w:val="24"/>
        </w:rPr>
        <w:t xml:space="preserve"> One or more additional members may be admitted to the Company only with the written consent of the Member and upon the admitted person's delivery of a signed agreement to be bound by this Agreement.</w:t>
      </w:r>
    </w:p>
    <w:p>
      <w:pPr>
        <w:keepLines/>
        <w:widowControl/>
        <w:spacing w:after="160"/>
        <w:jc w:val="both"/>
      </w:pPr>
      <w:r>
        <w:rPr>
          <w:rFonts w:ascii="Times New Roman" w:hAnsi="Times New Roman"/>
          <w:b/>
          <w:sz w:val="24"/>
          <w:szCs w:val="24"/>
        </w:rPr>
        <w:t xml:space="preserve">11.2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11.3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12 — DISSOLUTION AND WINDING UP</w:t>
      </w:r>
    </w:p>
    <w:p>
      <w:pPr>
        <w:keepLines/>
        <w:widowControl/>
        <w:spacing w:after="160"/>
        <w:jc w:val="both"/>
      </w:pPr>
      <w:r>
        <w:rPr>
          <w:rFonts w:ascii="Times New Roman" w:hAnsi="Times New Roman"/>
          <w:b/>
          <w:sz w:val="24"/>
          <w:szCs w:val="24"/>
        </w:rPr>
        <w:t xml:space="preserve">12.1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keepLines/>
        <w:widowControl/>
        <w:spacing w:after="160"/>
        <w:jc w:val="both"/>
      </w:pPr>
      <w:r>
        <w:rPr>
          <w:rFonts w:ascii="Times New Roman" w:hAnsi="Times New Roman"/>
          <w:b/>
          <w:sz w:val="24"/>
          <w:szCs w:val="24"/>
        </w:rPr>
        <w:t xml:space="preserve">12.2 Winding Up a Protected Series.</w:t>
      </w:r>
      <w:r>
        <w:rPr>
          <w:rFonts w:ascii="Times New Roman" w:hAnsi="Times New Roman"/>
          <w:sz w:val="24"/>
          <w:szCs w:val="24"/>
        </w:rPr>
        <w:t xml:space="preserve"> Upon dissolution of a Protected Series, its Protected Series Manager (or another person designated by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12.3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12.4 Winding Up the Company.</w:t>
      </w:r>
      <w:r>
        <w:rPr>
          <w:rFonts w:ascii="Times New Roman" w:hAnsi="Times New Roman"/>
          <w:sz w:val="24"/>
          <w:szCs w:val="24"/>
        </w:rPr>
        <w:t xml:space="preserve"> Upon dissolution of the Company, the Manager (or, if there is none, a person designated by the Member) shall wind up the Company and each Protected Series. After the winding up of each Protected Series under Section 12.2,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12.5 No Deficit Obligation; Recourse Limited.</w:t>
      </w:r>
      <w:r>
        <w:rPr>
          <w:rFonts w:ascii="Times New Roman" w:hAnsi="Times New Roman"/>
          <w:sz w:val="24"/>
          <w:szCs w:val="24"/>
        </w:rPr>
        <w:t xml:space="preserve"> The Member shall have no obligation to restore any deficit or to contribute capital in connection with any winding up,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13 — AMENDMENTS; CONSENTS</w:t>
      </w:r>
    </w:p>
    <w:p>
      <w:pPr>
        <w:keepLines/>
        <w:widowControl/>
        <w:spacing w:after="160"/>
        <w:jc w:val="both"/>
      </w:pPr>
      <w:r>
        <w:rPr>
          <w:rFonts w:ascii="Times New Roman" w:hAnsi="Times New Roman"/>
          <w:b/>
          <w:sz w:val="24"/>
          <w:szCs w:val="24"/>
        </w:rPr>
        <w:t xml:space="preserve">13.1 Amendments.</w:t>
      </w:r>
      <w:r>
        <w:rPr>
          <w:rFonts w:ascii="Times New Roman" w:hAnsi="Times New Roman"/>
          <w:sz w:val="24"/>
          <w:szCs w:val="24"/>
        </w:rPr>
        <w:t xml:space="preserve"> This Agreement, including any Series Exhibit, may be amended only by a written instrument signed by the Member; provided, that any amendment changing the rights or obligations of the Manager may not impose new obligations on the Manager without the Manager's written consent. Oral, implied, or course-of-dealing amendments are of no effect.</w:t>
      </w:r>
    </w:p>
    <w:p>
      <w:pPr>
        <w:keepLines/>
        <w:widowControl/>
        <w:spacing w:after="160"/>
        <w:jc w:val="both"/>
      </w:pPr>
      <w:r>
        <w:rPr>
          <w:rFonts w:ascii="Times New Roman" w:hAnsi="Times New Roman"/>
          <w:b/>
          <w:sz w:val="24"/>
          <w:szCs w:val="24"/>
        </w:rPr>
        <w:t xml:space="preserve">13.2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keepLines/>
        <w:widowControl/>
        <w:spacing w:before="240" w:after="0"/>
      </w:pPr>
      <w:r>
        <w:rPr>
          <w:rFonts w:ascii="Times New Roman" w:hAnsi="Times New Roman"/>
          <w:b/>
          <w:sz w:val="26"/>
          <w:szCs w:val="26"/>
        </w:rPr>
        <w:t xml:space="preserve">ARTICLE 14 — MISCELLANEOUS</w:t>
      </w:r>
    </w:p>
    <w:p>
      <w:pPr>
        <w:keepLines/>
        <w:widowControl/>
        <w:spacing w:after="160"/>
        <w:jc w:val="both"/>
      </w:pPr>
      <w:r>
        <w:rPr>
          <w:rFonts w:ascii="Times New Roman" w:hAnsi="Times New Roman"/>
          <w:b/>
          <w:sz w:val="24"/>
          <w:szCs w:val="24"/>
        </w:rPr>
        <w:t xml:space="preserve">14.1 Governing Law; Internal Affairs.</w:t>
      </w:r>
      <w:r>
        <w:rPr>
          <w:rFonts w:ascii="Times New Roman" w:hAnsi="Times New Roman"/>
          <w:sz w:val="24"/>
          <w:szCs w:val="24"/>
        </w:rPr>
        <w:t xml:space="preserve"> This Agreement, the internal affairs of the Company and of each Protected Series, and the relations among the Member,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14.2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14.3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14.4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14.5 Binding Effect.</w:t>
      </w:r>
      <w:r>
        <w:rPr>
          <w:rFonts w:ascii="Times New Roman" w:hAnsi="Times New Roman"/>
          <w:sz w:val="24"/>
          <w:szCs w:val="24"/>
        </w:rPr>
        <w:t xml:space="preserve"> This Agreement binds and benefits the Member,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14.6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14.7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14.8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14.9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14.10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NAME]</w:t>
      </w:r>
    </w:p>
    <w:p>
      <w:pPr>
        <w:keepNext/>
        <w:keepLines/>
        <w:widowControl/>
        <w:spacing w:after="160"/>
        <w:jc w:val="both"/>
      </w:pPr>
      <w:r>
        <w:rPr>
          <w:rFonts w:ascii="Times New Roman" w:hAnsi="Times New Roman"/>
          <w:b/>
          <w:sz w:val="24"/>
          <w:szCs w:val="24"/>
        </w:rPr>
        <w:t xml:space="preserve">ACKNOWLEDGED AND AGREED BY MANAGER:</w:t>
      </w:r>
    </w:p>
    <w:p>
      <w:pPr>
        <w:keepLines/>
        <w:widowControl/>
        <w:spacing w:after="160"/>
        <w:jc w:val="both"/>
      </w:pPr>
      <w:r>
        <w:rPr>
          <w:rFonts w:ascii="Times New Roman" w:hAnsi="Times New Roman"/>
          <w:sz w:val="24"/>
          <w:szCs w:val="24"/>
        </w:rPr>
        <w:t xml:space="preserve">[MANAGER SIGNATURE BLOCKS]</w:t>
      </w:r>
    </w:p>
    <w:p>
      <w:r>
        <w:br w:type="page"/>
      </w:r>
    </w:p>
    <w:p>
      <w:pPr>
        <w:keepNext/>
        <w:keepLines/>
        <w:widowControl/>
        <w:spacing w:before="240" w:after="0"/>
      </w:pPr>
      <w:r>
        <w:rPr>
          <w:rFonts w:ascii="Times New Roman" w:hAnsi="Times New Roman"/>
          <w:b/>
          <w:sz w:val="26"/>
          <w:szCs w:val="26"/>
        </w:rPr>
        <w:t xml:space="preserve">EXHIBIT A — MEMBER; CONTRIBUTIONS; TOD DESIGNATION</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 (ss. 711.50–711.512, Fla. Stat.):</w:t>
      </w:r>
    </w:p>
    <w:p>
      <w:pPr>
        <w:keepLines/>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none is designated or the designation fails, the Membership Interest passes as provided by law.</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its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[NAME], Protected Series Manager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(Manager-Managed, Single Member / Disregarded Entity), v1 draft. Statutory citations verified against Online Sunshine on August 3, 2026: ss. 605.2103, 605.2107, 605.2201, 605.2202, 605.2301, 605.2401, 605.2501, 605.2604, 48.062, 711.50–711.512, Fla. Stat.</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