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(Manager-Managed — Single Member / S Corporation)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 and is acknowledged by the undersigned manager (the "Manager").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Company has elected, or intends to elect, to be classified as an association taxable as a corporation and to be treated as an S corporation for federal income tax purposes.</w:t>
      </w:r>
    </w:p>
    <w:p>
      <w:pPr>
        <w:widowControl/>
        <w:spacing w:after="160"/>
        <w:jc w:val="both"/>
      </w:pPr>
      <w:r>
        <w:rPr>
          <w:rFonts w:ascii="Times New Roman" w:hAnsi="Times New Roman"/>
          <w:sz w:val="24"/>
          <w:szCs w:val="24"/>
        </w:rPr>
        <w:t xml:space="preserve">D. The Member is the sole member of the Company, and intends by this Agreement to set forth the terms governing the Company, each Protected Series designated by the Company, and the relations among the Company, each Protected Series, the Member, and the Manager.</w:t>
      </w:r>
    </w:p>
    <w:p>
      <w:pPr>
        <w:keepNext/>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Manager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Manager may determine. A Protected Series may maintain its own place of business as determined by its Protected Series Manager.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Membership Interest.</w:t>
      </w:r>
      <w:r>
        <w:rPr>
          <w:rFonts w:ascii="Times New Roman" w:hAnsi="Times New Roman"/>
          <w:sz w:val="24"/>
          <w:szCs w:val="24"/>
        </w:rPr>
        <w:t xml:space="preserve"> The Member's interest in the Company is personal property for all purposes.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Uniform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"Code"</w:t>
      </w:r>
      <w:r>
        <w:rPr>
          <w:rFonts w:ascii="Times New Roman" w:hAnsi="Times New Roman"/>
          <w:sz w:val="24"/>
          <w:szCs w:val="24"/>
        </w:rPr>
        <w:t xml:space="preserve"> means the Internal Revenue Code of 1986, as amended, and the Treasury Regulations promulgated under it.</w:t>
      </w:r>
    </w:p>
    <w:p>
      <w:pPr>
        <w:widowControl/>
        <w:spacing w:after="160"/>
        <w:jc w:val="both"/>
      </w:pPr>
      <w:r>
        <w:rPr>
          <w:rFonts w:ascii="Times New Roman" w:hAnsi="Times New Roman"/>
          <w:b/>
          <w:sz w:val="24"/>
          <w:szCs w:val="24"/>
        </w:rPr>
        <w:t xml:space="preserve">2.6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2.7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2.8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2.9 "Manager"</w:t>
      </w:r>
      <w:r>
        <w:rPr>
          <w:rFonts w:ascii="Times New Roman" w:hAnsi="Times New Roman"/>
          <w:sz w:val="24"/>
          <w:szCs w:val="24"/>
        </w:rPr>
        <w:t xml:space="preserve"> means the person named in Section 5.1 and any successor designated under this Agreement.</w:t>
      </w:r>
    </w:p>
    <w:p>
      <w:pPr>
        <w:widowControl/>
        <w:spacing w:after="160"/>
        <w:jc w:val="both"/>
      </w:pPr>
      <w:r>
        <w:rPr>
          <w:rFonts w:ascii="Times New Roman" w:hAnsi="Times New Roman"/>
          <w:b/>
          <w:sz w:val="24"/>
          <w:szCs w:val="24"/>
        </w:rPr>
        <w:t xml:space="preserve">2.10 "Member"</w:t>
      </w:r>
      <w:r>
        <w:rPr>
          <w:rFonts w:ascii="Times New Roman" w:hAnsi="Times New Roman"/>
          <w:sz w:val="24"/>
          <w:szCs w:val="24"/>
        </w:rPr>
        <w:t xml:space="preserve"> means the person identified as such on Exhibit A and any successor admitted in accordance with this Agreement.</w:t>
      </w:r>
    </w:p>
    <w:p>
      <w:pPr>
        <w:widowControl/>
        <w:spacing w:after="160"/>
        <w:jc w:val="both"/>
      </w:pPr>
      <w:r>
        <w:rPr>
          <w:rFonts w:ascii="Times New Roman" w:hAnsi="Times New Roman"/>
          <w:b/>
          <w:sz w:val="24"/>
          <w:szCs w:val="24"/>
        </w:rPr>
        <w:t xml:space="preserve">2.11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2.12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2.13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2.14 "Protected Series Manager"</w:t>
      </w:r>
      <w:r>
        <w:rPr>
          <w:rFonts w:ascii="Times New Roman" w:hAnsi="Times New Roman"/>
          <w:sz w:val="24"/>
          <w:szCs w:val="24"/>
        </w:rPr>
        <w:t xml:space="preserve"> means the person responsible for management of a Protected Series under Section 5.2.</w:t>
      </w:r>
    </w:p>
    <w:p>
      <w:pPr>
        <w:widowControl/>
        <w:spacing w:after="160"/>
        <w:jc w:val="both"/>
      </w:pPr>
      <w:r>
        <w:rPr>
          <w:rFonts w:ascii="Times New Roman" w:hAnsi="Times New Roman"/>
          <w:b/>
          <w:sz w:val="24"/>
          <w:szCs w:val="24"/>
        </w:rPr>
        <w:t xml:space="preserve">2.15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widowControl/>
        <w:spacing w:after="160"/>
        <w:jc w:val="both"/>
      </w:pPr>
      <w:r>
        <w:rPr>
          <w:rFonts w:ascii="Times New Roman" w:hAnsi="Times New Roman"/>
          <w:b/>
          <w:sz w:val="24"/>
          <w:szCs w:val="24"/>
        </w:rPr>
        <w:t xml:space="preserve">2.16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the Member approves.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the provisions of Article 8, or the provisions of Article 9.</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THE MEMBER; MEMBERSHIP INTEREST</w:t>
      </w:r>
    </w:p>
    <w:p>
      <w:pPr>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The Company has a single class of ownership; no certificates shall be issued unless the Manager determines otherwise.</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widowControl/>
        <w:spacing w:after="160"/>
        <w:jc w:val="both"/>
      </w:pPr>
      <w:r>
        <w:rPr>
          <w:rFonts w:ascii="Times New Roman" w:hAnsi="Times New Roman"/>
          <w:b/>
          <w:sz w:val="24"/>
          <w:szCs w:val="24"/>
        </w:rPr>
        <w:t xml:space="preserve">4.4 No Agency by Status.</w:t>
      </w:r>
      <w:r>
        <w:rPr>
          <w:rFonts w:ascii="Times New Roman" w:hAnsi="Times New Roman"/>
          <w:sz w:val="24"/>
          <w:szCs w:val="24"/>
        </w:rPr>
        <w:t xml:space="preserve"> The Member is not an agent of the Company or of any Protected Series solely by reason of being a member.</w:t>
      </w:r>
    </w:p>
    <w:p>
      <w:pPr>
        <w:widowControl/>
        <w:spacing w:after="160"/>
        <w:jc w:val="both"/>
      </w:pPr>
      <w:r>
        <w:rPr>
          <w:rFonts w:ascii="Times New Roman" w:hAnsi="Times New Roman"/>
          <w:b/>
          <w:sz w:val="24"/>
          <w:szCs w:val="24"/>
        </w:rPr>
        <w:t xml:space="preserve">4.5 Other Activities.</w:t>
      </w:r>
      <w:r>
        <w:rPr>
          <w:rFonts w:ascii="Times New Roman" w:hAnsi="Times New Roman"/>
          <w:sz w:val="24"/>
          <w:szCs w:val="24"/>
        </w:rPr>
        <w:t xml:space="preserve"> The Member and the Manager may engage in or possess interests in other business ventures of any nature, independently or with others, and neither the Company nor any Protected Series shall have any right in such ventures by virtue of this Agreement.</w:t>
      </w:r>
    </w:p>
    <w:p>
      <w:pPr>
        <w:widowControl/>
        <w:spacing w:after="160"/>
        <w:jc w:val="both"/>
      </w:pPr>
      <w:r>
        <w:rPr>
          <w:rFonts w:ascii="Times New Roman" w:hAnsi="Times New Roman"/>
          <w:b/>
          <w:sz w:val="24"/>
          <w:szCs w:val="24"/>
        </w:rPr>
        <w:t xml:space="preserve">4.6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Subject to Section 9.3(b), the Member, if an individual, may designate any person or entity as a beneficiary. A designation may name a backup beneficiary to take if the first beneficiary does not survive the Member.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widowControl/>
        <w:spacing w:after="160"/>
        <w:jc w:val="both"/>
      </w:pPr>
      <w:r>
        <w:rPr>
          <w:rFonts w:ascii="Times New Roman" w:hAnsi="Times New Roman"/>
          <w:b/>
          <w:sz w:val="24"/>
          <w:szCs w:val="24"/>
        </w:rPr>
        <w:t xml:space="preserve">4.7 Incapacity of the Member.</w:t>
      </w:r>
      <w:r>
        <w:rPr>
          <w:rFonts w:ascii="Times New Roman" w:hAnsi="Times New Roman"/>
          <w:sz w:val="24"/>
          <w:szCs w:val="24"/>
        </w:rPr>
        <w:t xml:space="preserve">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w:t>
      </w:r>
    </w:p>
    <w:p>
      <w:pPr>
        <w:widowControl/>
        <w:spacing w:after="160"/>
        <w:jc w:val="both"/>
      </w:pPr>
      <w:r>
        <w:rPr>
          <w:rFonts w:ascii="Times New Roman" w:hAnsi="Times New Roman"/>
          <w:b/>
          <w:sz w:val="24"/>
          <w:szCs w:val="24"/>
        </w:rPr>
        <w:t xml:space="preserve">4.8 Bankruptcy or Insolvency of the Member.</w:t>
      </w:r>
      <w:r>
        <w:rPr>
          <w:rFonts w:ascii="Times New Roman" w:hAnsi="Times New Roman"/>
          <w:sz w:val="24"/>
          <w:szCs w:val="24"/>
        </w:rPr>
        <w:t xml:space="preserve"> The Member is not dissociated, and the Membership Interest is not forfeited, terminated, or modified, by reason of the Member becoming a debtor in bankruptcy, executing an assignment for the benefit of creditors, or the appointment of a trustee, receiver, or liquidator of the Member or of all or substantially all of the Member's property, and each such event is excluded as an event of dissociation under s. 605.0602, Florida Statutes. The Manager continues in office with the authority stated in this Agreement, and the Company and each Protected Series continue without dissolution or winding up. A person who succeeds to all or any part of the Membership Interest by reason of such an event holds it subject to this Agreement and is admitted as the Member upon delivery to the Company of a written agreement to be bound by this Agreement.</w:t>
      </w:r>
    </w:p>
    <w:p>
      <w:pPr>
        <w:keepNext/>
        <w:widowControl/>
        <w:spacing w:before="240" w:after="200"/>
      </w:pPr>
      <w:r>
        <w:rPr>
          <w:rFonts w:ascii="Times New Roman" w:hAnsi="Times New Roman"/>
          <w:b/>
          <w:sz w:val="26"/>
          <w:szCs w:val="26"/>
        </w:rPr>
        <w:t xml:space="preserve">ARTICLE 5 — MANAGEMENT</w:t>
      </w:r>
    </w:p>
    <w:p>
      <w:pPr>
        <w:widowControl/>
        <w:spacing w:after="160"/>
        <w:jc w:val="both"/>
      </w:pPr>
      <w:r>
        <w:rPr>
          <w:rFonts w:ascii="Times New Roman" w:hAnsi="Times New Roman"/>
          <w:b/>
          <w:sz w:val="24"/>
          <w:szCs w:val="24"/>
        </w:rPr>
        <w:t xml:space="preserve">5.1 Manager-Managed; the Manager.</w:t>
      </w:r>
      <w:r>
        <w:rPr>
          <w:rFonts w:ascii="Times New Roman" w:hAnsi="Times New Roman"/>
          <w:sz w:val="24"/>
          <w:szCs w:val="24"/>
        </w:rPr>
        <w:t xml:space="preserve"> The Company is </w:t>
      </w:r>
      <w:r>
        <w:rPr>
          <w:rFonts w:ascii="Times New Roman" w:hAnsi="Times New Roman"/>
          <w:b/>
          <w:sz w:val="24"/>
          <w:szCs w:val="24"/>
        </w:rPr>
        <w:t xml:space="preserve">manager-managed</w:t>
      </w:r>
      <w:r>
        <w:rPr>
          <w:rFonts w:ascii="Times New Roman" w:hAnsi="Times New Roman"/>
          <w:sz w:val="24"/>
          <w:szCs w:val="24"/>
        </w:rPr>
        <w:t xml:space="preserve"> as provided in its Articles of Organization and this Agreement. The initial Manager is [MANAGER NAMES].The initial Managers are [MANAGER NAMES].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w:t>
      </w:r>
      <w:r>
        <w:rPr>
          <w:rFonts w:ascii="Times New Roman" w:hAnsi="Times New Roman"/>
          <w:b/>
          <w:sz w:val="24"/>
          <w:szCs w:val="24"/>
        </w:rPr>
        <w:t xml:space="preserve">manager-managed</w:t>
      </w:r>
      <w:r>
        <w:rPr>
          <w:rFonts w:ascii="Times New Roman" w:hAnsi="Times New Roman"/>
          <w:sz w:val="24"/>
          <w:szCs w:val="24"/>
        </w:rPr>
        <w:t xml:space="preserve">.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w:t>
      </w:r>
    </w:p>
    <w:p>
      <w:pPr>
        <w:widowControl/>
        <w:spacing w:after="160"/>
        <w:jc w:val="both"/>
      </w:pPr>
      <w:r>
        <w:rPr>
          <w:rFonts w:ascii="Times New Roman" w:hAnsi="Times New Roman"/>
          <w:b/>
          <w:sz w:val="24"/>
          <w:szCs w:val="24"/>
        </w:rPr>
        <w:t xml:space="preserve">5.3 Authority of the Manager.</w:t>
      </w:r>
      <w:r>
        <w:rPr>
          <w:rFonts w:ascii="Times New Roman" w:hAnsi="Times New Roman"/>
          <w:sz w:val="24"/>
          <w:szCs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Next/>
        <w:widowControl/>
        <w:spacing w:after="160"/>
        <w:jc w:val="both"/>
      </w:pPr>
      <w:r>
        <w:rPr>
          <w:rFonts w:ascii="Times New Roman" w:hAnsi="Times New Roman"/>
          <w:b/>
          <w:sz w:val="24"/>
          <w:szCs w:val="24"/>
        </w:rPr>
        <w:t xml:space="preserve">5.4 Actions Requiring Member Approval.</w:t>
      </w:r>
      <w:r>
        <w:rPr>
          <w:rFonts w:ascii="Times New Roman" w:hAnsi="Times New Roman"/>
          <w:sz w:val="24"/>
          <w:szCs w:val="24"/>
        </w:rPr>
        <w:t xml:space="preserve"> Notwithstanding Section 5.3, neither the Manager nor any Protected Series Manager shall do any of the following without the written consent of the Member:</w:t>
      </w:r>
    </w:p>
    <w:p>
      <w:pPr>
        <w:widowControl/>
        <w:spacing w:after="160"/>
        <w:jc w:val="both"/>
      </w:pPr>
      <w:r>
        <w:rPr>
          <w:rFonts w:ascii="Times New Roman" w:hAnsi="Times New Roman"/>
          <w:sz w:val="24"/>
          <w:szCs w:val="24"/>
        </w:rPr>
        <w:t xml:space="preserve">(a) sell, exchange, or otherwise dispose of all or substantially all of the Associated Assets of the Company or of any Protected Series, other than in the ordinary course of business;</w:t>
      </w:r>
    </w:p>
    <w:p>
      <w:pPr>
        <w:widowControl/>
        <w:spacing w:after="160"/>
        <w:jc w:val="both"/>
      </w:pPr>
      <w:r>
        <w:rPr>
          <w:rFonts w:ascii="Times New Roman" w:hAnsi="Times New Roman"/>
          <w:sz w:val="24"/>
          <w:szCs w:val="24"/>
        </w:rPr>
        <w:t xml:space="preserve">(b) file, amend, or cancel a statement of authority under s. 605.0302, Florida Statutes, or record a certified copy of one; or</w:t>
      </w:r>
    </w:p>
    <w:p>
      <w:pPr>
        <w:widowControl/>
        <w:spacing w:after="160"/>
        <w:jc w:val="both"/>
      </w:pPr>
      <w:r>
        <w:rPr>
          <w:rFonts w:ascii="Times New Roman" w:hAnsi="Times New Roman"/>
          <w:sz w:val="24"/>
          <w:szCs w:val="24"/>
        </w:rPr>
        <w:t xml:space="preserve">(c) make, change, or revoke any election under the Code affecting the classification of the Company or of any Protected Series.</w:t>
      </w:r>
    </w:p>
    <w:p>
      <w:pPr>
        <w:widowControl/>
        <w:spacing w:after="160"/>
        <w:jc w:val="both"/>
      </w:pPr>
      <w:r>
        <w:rPr>
          <w:rFonts w:ascii="Times New Roman" w:hAnsi="Times New Roman"/>
          <w:b/>
          <w:sz w:val="24"/>
          <w:szCs w:val="24"/>
        </w:rPr>
        <w:t xml:space="preserve">5.5 Standard of Conduct; Exculpation.</w:t>
      </w:r>
      <w:r>
        <w:rPr>
          <w:rFonts w:ascii="Times New Roman" w:hAnsi="Times New Roman"/>
          <w:sz w:val="24"/>
          <w:szCs w:val="24"/>
        </w:rPr>
        <w:t xml:space="preserve">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5.6 Indemnification.</w:t>
      </w:r>
      <w:r>
        <w:rPr>
          <w:rFonts w:ascii="Times New Roman" w:hAnsi="Times New Roman"/>
          <w:sz w:val="24"/>
          <w:szCs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widowControl/>
        <w:spacing w:after="160"/>
        <w:jc w:val="both"/>
      </w:pPr>
      <w:r>
        <w:rPr>
          <w:rFonts w:ascii="Times New Roman" w:hAnsi="Times New Roman"/>
          <w:b/>
          <w:sz w:val="24"/>
          <w:szCs w:val="24"/>
        </w:rPr>
        <w:t xml:space="preserve">5.7 Compensation; Reimbursement; Shared Expenses.</w:t>
      </w:r>
      <w:r>
        <w:rPr>
          <w:rFonts w:ascii="Times New Roman" w:hAnsi="Times New Roman"/>
          <w:sz w:val="24"/>
          <w:szCs w:val="24"/>
        </w:rPr>
        <w:t xml:space="preserve">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widowControl/>
        <w:spacing w:after="160"/>
        <w:jc w:val="both"/>
      </w:pPr>
      <w:r>
        <w:rPr>
          <w:rFonts w:ascii="Times New Roman" w:hAnsi="Times New Roman"/>
          <w:b/>
          <w:sz w:val="24"/>
          <w:szCs w:val="24"/>
        </w:rPr>
        <w:t xml:space="preserve">5.8 Statement of Authority.</w:t>
      </w:r>
      <w:r>
        <w:rPr>
          <w:rFonts w:ascii="Times New Roman" w:hAnsi="Times New Roman"/>
          <w:sz w:val="24"/>
          <w:szCs w:val="24"/>
        </w:rPr>
        <w:t xml:space="preserve"> With the consent of the Member required by Section 5.4(b),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A loan made under this Section shall be documented as indebtedness and does not create a second class of ownership.</w:t>
      </w:r>
    </w:p>
    <w:p>
      <w:pPr>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DISTRIBUTIONS</w:t>
      </w:r>
    </w:p>
    <w:p>
      <w:pPr>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w:t>
      </w:r>
    </w:p>
    <w:p>
      <w:pPr>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 Each distribution shall be recorded in the records maintained under Article 8, identifying its source.</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Manager shall maintain, for the Company and for each Protected Series, the records described in this Article. The records of the Company that the Member may inspect include the records maintained under this Article for every Protected Series.</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S Corporation Status.</w:t>
      </w:r>
      <w:r>
        <w:rPr>
          <w:rFonts w:ascii="Times New Roman" w:hAnsi="Times New Roman"/>
          <w:sz w:val="24"/>
          <w:szCs w:val="24"/>
        </w:rPr>
        <w:t xml:space="preserve"> The Company has elected, or intends to elect, classification as an association taxable as a corporation and S corporation status under section 1362 of the Code, and it is intended that the election remain continuously in effect. The Member shall execute the consents and other instruments (including IRS Form 2553) necessary or appropriate to make and maintain the election, and no election shall be revoked without the Member's written consent.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w:t>
      </w:r>
    </w:p>
    <w:p>
      <w:pPr>
        <w:widowControl/>
        <w:spacing w:after="160"/>
        <w:jc w:val="both"/>
      </w:pPr>
      <w:r>
        <w:rPr>
          <w:rFonts w:ascii="Times New Roman" w:hAnsi="Times New Roman"/>
          <w:b/>
          <w:sz w:val="24"/>
          <w:szCs w:val="24"/>
        </w:rPr>
        <w:t xml:space="preserve">9.2 Returns; Information.</w:t>
      </w:r>
      <w:r>
        <w:rPr>
          <w:rFonts w:ascii="Times New Roman" w:hAnsi="Times New Roman"/>
          <w:sz w:val="24"/>
          <w:szCs w:val="24"/>
        </w:rPr>
        <w:t xml:space="preserve"> The Manager shall cause to be prepared and filed all tax returns required of the Company (including Form 1120-S) and of each Protected Series, if necessary or required, and shall deliver to the Member, after the end of each fiscal year, the information (including Schedule K-1) necessary for the Member's returns.</w:t>
      </w:r>
    </w:p>
    <w:p>
      <w:pPr>
        <w:keepNext/>
        <w:widowControl/>
        <w:spacing w:after="160"/>
        <w:jc w:val="both"/>
      </w:pPr>
      <w:r>
        <w:rPr>
          <w:rFonts w:ascii="Times New Roman" w:hAnsi="Times New Roman"/>
          <w:b/>
          <w:sz w:val="24"/>
          <w:szCs w:val="24"/>
        </w:rPr>
        <w:t xml:space="preserve">9.3 Protecting the Election.</w:t>
      </w:r>
      <w:r>
        <w:rPr>
          <w:rFonts w:ascii="Times New Roman" w:hAnsi="Times New Roman"/>
          <w:sz w:val="24"/>
          <w:szCs w:val="24"/>
        </w:rPr>
        <w:t xml:space="preserve"> While the S corporation election is in effect:</w:t>
      </w:r>
    </w:p>
    <w:p>
      <w:pPr>
        <w:widowControl/>
        <w:spacing w:after="160"/>
        <w:jc w:val="both"/>
      </w:pPr>
      <w:r>
        <w:rPr>
          <w:rFonts w:ascii="Times New Roman" w:hAnsi="Times New Roman"/>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widowControl/>
        <w:spacing w:after="160"/>
        <w:jc w:val="both"/>
      </w:pPr>
      <w:r>
        <w:rPr>
          <w:rFonts w:ascii="Times New Roman" w:hAnsi="Times New Roman"/>
          <w:sz w:val="24"/>
          <w:szCs w:val="24"/>
        </w:rPr>
        <w:t xml:space="preserve">(b) a TOD designation under Section 4.6 is effective only in favor of a beneficiary that is an eligible S corporation shareholder under section 1361 of the Code, and a designation in favor of any other person is null and void ab initio and shall be given no force or effect for any purpose;</w:t>
      </w:r>
    </w:p>
    <w:p>
      <w:pPr>
        <w:widowControl/>
        <w:spacing w:after="160"/>
        <w:jc w:val="both"/>
      </w:pPr>
      <w:r>
        <w:rPr>
          <w:rFonts w:ascii="Times New Roman" w:hAnsi="Times New Roman"/>
          <w:sz w:val="24"/>
          <w:szCs w:val="24"/>
        </w:rPr>
        <w:t xml:space="preserve">(c) no additional member may be admitted except as Section 10.1 permits; and</w:t>
      </w:r>
    </w:p>
    <w:p>
      <w:pPr>
        <w:widowControl/>
        <w:spacing w:after="160"/>
        <w:jc w:val="both"/>
      </w:pPr>
      <w:r>
        <w:rPr>
          <w:rFonts w:ascii="Times New Roman" w:hAnsi="Times New Roman"/>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Next/>
        <w:widowControl/>
        <w:spacing w:after="160"/>
        <w:jc w:val="both"/>
      </w:pPr>
      <w:r>
        <w:rPr>
          <w:rFonts w:ascii="Times New Roman" w:hAnsi="Times New Roman"/>
          <w:b/>
          <w:sz w:val="24"/>
          <w:szCs w:val="24"/>
        </w:rPr>
        <w:t xml:space="preserve">9.4 Intent; Savings Clause.</w:t>
      </w:r>
    </w:p>
    <w:p>
      <w:pPr>
        <w:widowControl/>
        <w:spacing w:after="160"/>
        <w:jc w:val="both"/>
      </w:pPr>
      <w:r>
        <w:rPr>
          <w:rFonts w:ascii="Times New Roman" w:hAnsi="Times New Roman"/>
          <w:b/>
          <w:sz w:val="24"/>
          <w:szCs w:val="24"/>
        </w:rPr>
        <w:t xml:space="preserve">(a) Intent.</w:t>
      </w:r>
      <w:r>
        <w:rPr>
          <w:rFonts w:ascii="Times New Roman" w:hAnsi="Times New Roman"/>
          <w:sz w:val="24"/>
          <w:szCs w:val="24"/>
        </w:rPr>
        <w:t xml:space="preserve">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widowControl/>
        <w:spacing w:after="160"/>
        <w:jc w:val="both"/>
      </w:pPr>
      <w:r>
        <w:rPr>
          <w:rFonts w:ascii="Times New Roman" w:hAnsi="Times New Roman"/>
          <w:b/>
          <w:sz w:val="24"/>
          <w:szCs w:val="24"/>
        </w:rPr>
        <w:t xml:space="preserve">(b) Offending provisions are void ab initio.</w:t>
      </w:r>
      <w:r>
        <w:rPr>
          <w:rFonts w:ascii="Times New Roman" w:hAnsi="Times New Roman"/>
          <w:sz w:val="24"/>
          <w:szCs w:val="24"/>
        </w:rPr>
        <w:t xml:space="preserve">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widowControl/>
        <w:spacing w:after="160"/>
        <w:jc w:val="both"/>
      </w:pPr>
      <w:r>
        <w:rPr>
          <w:rFonts w:ascii="Times New Roman" w:hAnsi="Times New Roman"/>
          <w:b/>
          <w:sz w:val="24"/>
          <w:szCs w:val="24"/>
        </w:rPr>
        <w:t xml:space="preserve">(c) Offending acts are void.</w:t>
      </w:r>
      <w:r>
        <w:rPr>
          <w:rFonts w:ascii="Times New Roman" w:hAnsi="Times New Roman"/>
          <w:sz w:val="24"/>
          <w:szCs w:val="24"/>
        </w:rPr>
        <w:t xml:space="preserve"> Neither the Member nor the Manager,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widowControl/>
        <w:spacing w:after="160"/>
        <w:jc w:val="both"/>
      </w:pPr>
      <w:r>
        <w:rPr>
          <w:rFonts w:ascii="Times New Roman" w:hAnsi="Times New Roman"/>
          <w:b/>
          <w:sz w:val="24"/>
          <w:szCs w:val="24"/>
        </w:rPr>
        <w:t xml:space="preserve">(d) A single class of ownership in all events.</w:t>
      </w:r>
      <w:r>
        <w:rPr>
          <w:rFonts w:ascii="Times New Roman" w:hAnsi="Times New Roman"/>
          <w:sz w:val="24"/>
          <w:szCs w:val="24"/>
        </w:rPr>
        <w:t xml:space="preserve">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widowControl/>
        <w:spacing w:after="160"/>
        <w:jc w:val="both"/>
      </w:pPr>
      <w:r>
        <w:rPr>
          <w:rFonts w:ascii="Times New Roman" w:hAnsi="Times New Roman"/>
          <w:b/>
          <w:sz w:val="24"/>
          <w:szCs w:val="24"/>
        </w:rPr>
        <w:t xml:space="preserve">(e) Conforming construction.</w:t>
      </w:r>
      <w:r>
        <w:rPr>
          <w:rFonts w:ascii="Times New Roman" w:hAnsi="Times New Roman"/>
          <w:sz w:val="24"/>
          <w:szCs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widowControl/>
        <w:spacing w:after="160"/>
        <w:jc w:val="both"/>
      </w:pPr>
      <w:r>
        <w:rPr>
          <w:rFonts w:ascii="Times New Roman" w:hAnsi="Times New Roman"/>
          <w:b/>
          <w:sz w:val="24"/>
          <w:szCs w:val="24"/>
        </w:rPr>
        <w:t xml:space="preserve">(f) Relief for inadvertent termination.</w:t>
      </w:r>
      <w:r>
        <w:rPr>
          <w:rFonts w:ascii="Times New Roman" w:hAnsi="Times New Roman"/>
          <w:sz w:val="24"/>
          <w:szCs w:val="24"/>
        </w:rPr>
        <w:t xml:space="preserve"> If the election nonetheless terminates or is determined to be invalid, the Member and the Manager shall cooperate to obtain relief for an inadvertent termination or invalid election under section 1362(f) of the Code, including making the adjustments and taking the actions the Internal Revenue Service may require.</w:t>
      </w:r>
    </w:p>
    <w:p>
      <w:pPr>
        <w:widowControl/>
        <w:spacing w:after="160"/>
        <w:jc w:val="both"/>
      </w:pPr>
      <w:r>
        <w:rPr>
          <w:rFonts w:ascii="Times New Roman" w:hAnsi="Times New Roman"/>
          <w:b/>
          <w:sz w:val="24"/>
          <w:szCs w:val="24"/>
        </w:rPr>
        <w:t xml:space="preserve">9.5 Other Elections.</w:t>
      </w:r>
      <w:r>
        <w:rPr>
          <w:rFonts w:ascii="Times New Roman" w:hAnsi="Times New Roman"/>
          <w:sz w:val="24"/>
          <w:szCs w:val="24"/>
        </w:rPr>
        <w:t xml:space="preserve"> The Manager may make, change, or revoke any other tax election for the Company or any Protected Series that is consistent with maintaining the S corporation election and that the Manager determines to be in the best interests of the Member.</w:t>
      </w:r>
    </w:p>
    <w:p>
      <w:pPr>
        <w:widowControl/>
        <w:spacing w:after="160"/>
        <w:jc w:val="both"/>
      </w:pPr>
      <w:r>
        <w:rPr>
          <w:rFonts w:ascii="Times New Roman" w:hAnsi="Times New Roman"/>
          <w:b/>
          <w:sz w:val="24"/>
          <w:szCs w:val="24"/>
        </w:rPr>
        <w:t xml:space="preserve">9.6 Fiscal Year.</w:t>
      </w:r>
      <w:r>
        <w:rPr>
          <w:rFonts w:ascii="Times New Roman" w:hAnsi="Times New Roman"/>
          <w:sz w:val="24"/>
          <w:szCs w:val="24"/>
        </w:rPr>
        <w:t xml:space="preserve"> The fiscal year of the Company and of each Protected Series is the calendar year unless another year is permitted for an S corporation under section 1378 of the Code and selected by the Manager.</w:t>
      </w:r>
    </w:p>
    <w:p>
      <w:pPr>
        <w:keepNext/>
        <w:widowControl/>
        <w:spacing w:before="240" w:after="200"/>
      </w:pPr>
      <w:r>
        <w:rPr>
          <w:rFonts w:ascii="Times New Roman" w:hAnsi="Times New Roman"/>
          <w:b/>
          <w:sz w:val="26"/>
          <w:szCs w:val="26"/>
        </w:rPr>
        <w:t xml:space="preserve">ARTICLE 10 — ADMISSION OF ADDITIONAL MEMBERS</w:t>
      </w:r>
    </w:p>
    <w:p>
      <w:pPr>
        <w:widowControl/>
        <w:spacing w:after="160"/>
        <w:jc w:val="both"/>
      </w:pPr>
      <w:r>
        <w:rPr>
          <w:rFonts w:ascii="Times New Roman" w:hAnsi="Times New Roman"/>
          <w:b/>
          <w:sz w:val="24"/>
          <w:szCs w:val="24"/>
        </w:rPr>
        <w:t xml:space="preserve">10.1 Admission.</w:t>
      </w:r>
      <w:r>
        <w:rPr>
          <w:rFonts w:ascii="Times New Roman" w:hAnsi="Times New Roman"/>
          <w:sz w:val="24"/>
          <w:szCs w:val="24"/>
        </w:rPr>
        <w:t xml:space="preserve"> One or more additional members may be admitted to the Company only with the written consent of the Member, upon the admitted person's delivery of a signed agreement to be bound by this 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w:t>
      </w:r>
    </w:p>
    <w:p>
      <w:pPr>
        <w:widowControl/>
        <w:spacing w:after="160"/>
        <w:jc w:val="both"/>
      </w:pPr>
      <w:r>
        <w:rPr>
          <w:rFonts w:ascii="Times New Roman" w:hAnsi="Times New Roman"/>
          <w:b/>
          <w:sz w:val="24"/>
          <w:szCs w:val="24"/>
        </w:rPr>
        <w:t xml:space="preserve">10.2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10.3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11 — DISSOLUTION AND WINDING UP</w:t>
      </w:r>
    </w:p>
    <w:p>
      <w:pPr>
        <w:widowControl/>
        <w:spacing w:after="160"/>
        <w:jc w:val="both"/>
      </w:pPr>
      <w:r>
        <w:rPr>
          <w:rFonts w:ascii="Times New Roman" w:hAnsi="Times New Roman"/>
          <w:b/>
          <w:sz w:val="24"/>
          <w:szCs w:val="24"/>
        </w:rPr>
        <w:t xml:space="preserve">11.1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widowControl/>
        <w:spacing w:after="160"/>
        <w:jc w:val="both"/>
      </w:pPr>
      <w:r>
        <w:rPr>
          <w:rFonts w:ascii="Times New Roman" w:hAnsi="Times New Roman"/>
          <w:b/>
          <w:sz w:val="24"/>
          <w:szCs w:val="24"/>
        </w:rPr>
        <w:t xml:space="preserve">11.2 Winding Up a Protected Series.</w:t>
      </w:r>
      <w:r>
        <w:rPr>
          <w:rFonts w:ascii="Times New Roman" w:hAnsi="Times New Roman"/>
          <w:sz w:val="24"/>
          <w:szCs w:val="24"/>
        </w:rPr>
        <w:t xml:space="preserve">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11.3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11.4 Winding Up the Company.</w:t>
      </w:r>
      <w:r>
        <w:rPr>
          <w:rFonts w:ascii="Times New Roman" w:hAnsi="Times New Roman"/>
          <w:sz w:val="24"/>
          <w:szCs w:val="24"/>
        </w:rPr>
        <w:t xml:space="preserve"> Upon dissolution of the Company, the Manager (or, if there is none, a person designated by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11.5 Recourse Limited.</w:t>
      </w:r>
      <w:r>
        <w:rPr>
          <w:rFonts w:ascii="Times New Roman" w:hAnsi="Times New Roman"/>
          <w:sz w:val="24"/>
          <w:szCs w:val="24"/>
        </w:rPr>
        <w:t xml:space="preserve"> The Member shall have no obligation to contribute capital in connection with any winding up,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12 — AMENDMENTS; CONSENTS</w:t>
      </w:r>
    </w:p>
    <w:p>
      <w:pPr>
        <w:widowControl/>
        <w:spacing w:after="160"/>
        <w:jc w:val="both"/>
      </w:pPr>
      <w:r>
        <w:rPr>
          <w:rFonts w:ascii="Times New Roman" w:hAnsi="Times New Roman"/>
          <w:b/>
          <w:sz w:val="24"/>
          <w:szCs w:val="24"/>
        </w:rPr>
        <w:t xml:space="preserve">12.1 Amendments.</w:t>
      </w:r>
      <w:r>
        <w:rPr>
          <w:rFonts w:ascii="Times New Roman" w:hAnsi="Times New Roman"/>
          <w:sz w:val="24"/>
          <w:szCs w:val="24"/>
        </w:rPr>
        <w:t xml:space="preserve"> This Agreement, including any Series Exhibit, may be amended only by a written instrument signed by the 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Oral, implied, or course-of-dealing amendments are of no effect.</w:t>
      </w:r>
    </w:p>
    <w:p>
      <w:pPr>
        <w:widowControl/>
        <w:spacing w:after="160"/>
        <w:jc w:val="both"/>
      </w:pPr>
      <w:r>
        <w:rPr>
          <w:rFonts w:ascii="Times New Roman" w:hAnsi="Times New Roman"/>
          <w:b/>
          <w:sz w:val="24"/>
          <w:szCs w:val="24"/>
        </w:rPr>
        <w:t xml:space="preserve">12.2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widowControl/>
        <w:spacing w:before="240" w:after="200"/>
      </w:pPr>
      <w:r>
        <w:rPr>
          <w:rFonts w:ascii="Times New Roman" w:hAnsi="Times New Roman"/>
          <w:b/>
          <w:sz w:val="26"/>
          <w:szCs w:val="26"/>
        </w:rPr>
        <w:t xml:space="preserve">ARTICLE 13 — MISCELLANEOUS</w:t>
      </w:r>
    </w:p>
    <w:p>
      <w:pPr>
        <w:widowControl/>
        <w:spacing w:after="160"/>
        <w:jc w:val="both"/>
      </w:pPr>
      <w:r>
        <w:rPr>
          <w:rFonts w:ascii="Times New Roman" w:hAnsi="Times New Roman"/>
          <w:b/>
          <w:sz w:val="24"/>
          <w:szCs w:val="24"/>
        </w:rPr>
        <w:t xml:space="preserve">13.1 Governing Law; Internal Affairs.</w:t>
      </w:r>
      <w:r>
        <w:rPr>
          <w:rFonts w:ascii="Times New Roman" w:hAnsi="Times New Roman"/>
          <w:sz w:val="24"/>
          <w:szCs w:val="24"/>
        </w:rPr>
        <w:t xml:space="preserve">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13.2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13.3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13.4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13.5 Binding Effect.</w:t>
      </w:r>
      <w:r>
        <w:rPr>
          <w:rFonts w:ascii="Times New Roman" w:hAnsi="Times New Roman"/>
          <w:sz w:val="24"/>
          <w:szCs w:val="24"/>
        </w:rPr>
        <w:t xml:space="preserve"> This Agreement binds and benefits the Member, the Manager,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13.6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13.7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13.8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13.9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13.10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effective as of the date(s) set forth below.</w:t>
      </w:r>
    </w:p>
    <w:p>
      <w:pPr>
        <w:keepNext/>
        <w:widowControl/>
        <w:spacing w:after="160"/>
        <w:jc w:val="both"/>
      </w:pPr>
      <w:r>
        <w:rPr>
          <w:rFonts w:ascii="Times New Roman" w:hAnsi="Times New Roman"/>
          <w:b/>
          <w:sz w:val="24"/>
          <w:szCs w:val="24"/>
        </w:rPr>
        <w:t xml:space="preserve">MEMBER:</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[MEMBER NAME]</w:t>
      </w:r>
    </w:p>
    <w:p>
      <w:pPr>
        <w:widowControl/>
        <w:spacing w:after="160"/>
        <w:jc w:val="both"/>
      </w:pPr>
      <w:r>
        <w:rPr>
          <w:rFonts w:ascii="Times New Roman" w:hAnsi="Times New Roman"/>
          <w:sz w:val="24"/>
          <w:szCs w:val="24"/>
        </w:rPr>
        <w:t xml:space="preserve">Date: _____________________________[MEMBER NAME]</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keepNext/>
        <w:widowControl/>
        <w:spacing w:after="160"/>
        <w:jc w:val="both"/>
      </w:pPr>
      <w:r>
        <w:rPr>
          <w:rFonts w:ascii="Times New Roman" w:hAnsi="Times New Roman"/>
          <w:b/>
          <w:sz w:val="24"/>
          <w:szCs w:val="24"/>
        </w:rPr>
        <w:t xml:space="preserve">ACKNOWLEDGED AND AGREED BY MANAGER:</w:t>
      </w:r>
      <w:r>
        <w:rPr>
          <w:rFonts w:ascii="Times New Roman" w:hAnsi="Times New Roman"/>
          <w:b/>
          <w:sz w:val="24"/>
          <w:szCs w:val="24"/>
        </w:rPr>
        <w:t xml:space="preserve">ACKNOWLEDGED AND AGREED BY MANAGERS:</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Date: _____________________________</w:t>
      </w:r>
    </w:p>
    <w:p>
      <w:pPr>
        <w:widowControl/>
        <w:spacing w:after="160"/>
        <w:jc w:val="both"/>
      </w:pPr>
      <w:r>
        <w:rPr>
          <w:rFonts w:ascii="Times New Roman" w:hAnsi="Times New Roman"/>
          <w:sz w:val="24"/>
          <w:szCs w:val="24"/>
        </w:rPr>
        <w:t xml:space="preserve">[MANAGER NAME], Manager</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pageBreakBefore/>
        <w:keepNext/>
        <w:widowControl/>
        <w:spacing w:before="240" w:after="200"/>
      </w:pPr>
      <w:r>
        <w:rPr>
          <w:rFonts w:ascii="Times New Roman" w:hAnsi="Times New Roman"/>
          <w:b/>
          <w:sz w:val="26"/>
          <w:szCs w:val="26"/>
        </w:rPr>
        <w:t xml:space="preserve">EXHIBIT A — MEMBER; CONTRIBUTIONS; TOD DESIGNATION</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 of ownership)</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Capital allocated by the Company to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CONTRIBUTIONS]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by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 (ss. 711.50–711.512, Fla. Stat.):</w:t>
      </w:r>
    </w:p>
    <w:p>
      <w:pPr>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that beneficiary does not survive the Member, to </w:t>
      </w:r>
      <w:r>
        <w:rPr>
          <w:rFonts w:ascii="Times New Roman" w:hAnsi="Times New Roman"/>
          <w:b/>
          <w:sz w:val="24"/>
          <w:szCs w:val="24"/>
        </w:rPr>
        <w:t xml:space="preserve">[TOD BACKUP NAME(S)]</w:t>
      </w:r>
      <w:r>
        <w:rPr>
          <w:rFonts w:ascii="Times New Roman" w:hAnsi="Times New Roman"/>
          <w:sz w:val="24"/>
          <w:szCs w:val="24"/>
        </w:rPr>
        <w:t xml:space="preserve">, or if none is designated or the designation fails, the Membership Interest passes as provided by law. A designation is effective only in favor of a beneficiary that is an eligible S corporation shareholder (Section 9.3(b)).</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including, without limitation, [PURPOSE]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Protected Series Manager</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Same as Company Manager</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Article 9, or non-variable provisions of the Act]</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Adopted effective [DATE] by the Company, acting through its Manager:</w:t>
      </w:r>
      <w:r>
        <w:rPr>
          <w:rFonts w:ascii="Times New Roman" w:hAnsi="Times New Roman"/>
          <w:b/>
          <w:sz w:val="24"/>
          <w:szCs w:val="24"/>
        </w:rPr>
        <w:t xml:space="preserve">Adopted effective [DATE] by the Company, acting through its Managers:</w:t>
      </w:r>
    </w:p>
    <w:p>
      <w:pPr>
        <w:widowControl/>
        <w:spacing w:after="160"/>
        <w:jc w:val="both"/>
      </w:pPr>
      <w:r>
        <w:rPr>
          <w:rFonts w:ascii="Times New Roman" w:hAnsi="Times New Roman"/>
          <w:sz w:val="24"/>
          <w:szCs w:val="24"/>
        </w:rPr>
        <w:t xml:space="preserve">_____________________________</w:t>
      </w:r>
    </w:p>
    <w:p>
      <w:pPr>
        <w:widowControl/>
        <w:spacing w:after="160"/>
        <w:jc w:val="both"/>
      </w:pPr>
      <w:r>
        <w:rPr>
          <w:rFonts w:ascii="Times New Roman" w:hAnsi="Times New Roman"/>
          <w:sz w:val="24"/>
          <w:szCs w:val="24"/>
        </w:rPr>
        <w:t xml:space="preserve">[ADOPTER NAME], Protected Series Manager</w:t>
      </w:r>
    </w:p>
    <w:p>
      <w:pPr>
        <w:widowControl/>
        <w:spacing w:after="160"/>
        <w:jc w:val="both"/>
      </w:pPr>
      <w:r>
        <w:rPr>
          <w:rFonts w:ascii="Times New Roman" w:hAnsi="Times New Roman"/>
          <w:sz w:val="24"/>
          <w:szCs w:val="24"/>
        </w:rPr>
        <w:t xml:space="preserve">[ADOPTER NAME], Protected Series Manager</w:t>
      </w:r>
    </w:p>
    <w:p>
      <w:pPr>
        <w:keepNext/>
        <w:widowControl/>
        <w:spacing w:after="160"/>
        <w:jc w:val="both"/>
      </w:pPr>
      <w:r>
        <w:rPr>
          <w:rFonts w:ascii="Times New Roman" w:hAnsi="Times New Roman"/>
          <w:sz w:val="24"/>
          <w:szCs w:val="24"/>
        </w:rPr>
        <w:t xml:space="preserve">By: _____________________________</w:t>
      </w:r>
    </w:p>
    <w:p>
      <w:pPr>
        <w:keepLines/>
        <w:widowControl/>
        <w:spacing w:after="160"/>
        <w:ind w:left="407"/>
      </w:pPr>
      <w:r>
        <w:rPr>
          <w:rFonts w:ascii="Times New Roman" w:hAnsi="Times New Roman"/>
          <w:sz w:val="24"/>
          <w:szCs w:val="24"/>
        </w:rPr>
        <w:t xml:space="preserve">[PRINTED NAME]</w:t>
      </w:r>
    </w:p>
    <w:p>
      <w:pPr>
        <w:keepLines/>
        <w:widowControl/>
        <w:spacing w:after="160"/>
        <w:ind w:left="407"/>
      </w:pPr>
      <w:r>
        <w:rPr>
          <w:rFonts w:ascii="Times New Roman" w:hAnsi="Times New Roman"/>
          <w:sz w:val="24"/>
          <w:szCs w:val="24"/>
        </w:rPr>
        <w:t xml:space="preserve">[TITLE]</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(Manager-Managed, Single Member / S Corporation), v1 draft. Statutory citations in this form: ss. 48.062, 605.0102, 605.0302, 605.0602, 605.2101, 605.2103, 605.2107, 605.2201, 605.2301, 605.2302, 605.2303, 605.2304, 605.2401, 605.2602, 605.2605, 605.2607, 605.2802, 605.04074, 711.50, 711.501, 711.512, Fla. Stat. Internal Revenue Code sections: 1361, 1362, 1378.</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