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204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for </w:t>
      </w:r>
      <w:r>
        <w:rPr>
          <w:rFonts w:ascii="Times New Roman" w:hAnsi="Times New Roman"/>
          <w:color w:val="0645AD"/>
          <w:u w:val="single"/>
          <w:sz w:val="24"/>
          <w:szCs w:val="24"/>
        </w:rPr>
        <w:t xml:space="preserve">Code, and any purported Transfer in violation of this clause is void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fullest extent permitted by law;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w:t>
      </w:r>
      <w:r>
        <w:rPr>
          <w:rFonts w:ascii="Times New Roman" w:hAnsi="Times New Roman"/>
          <w:sz w:val="24"/>
          <w:szCs w:val="24"/>
        </w:rPr>
        <w:t xml:space="preserve">the </w:t>
      </w:r>
      <w:r>
        <w:rPr>
          <w:rFonts w:ascii="Times New Roman" w:hAnsi="Times New Roman"/>
          <w:strike/>
          <w:color w:val="C00000"/>
          <w:sz w:val="24"/>
          <w:szCs w:val="24"/>
        </w:rPr>
        <w:t xml:space="preserve">Code, including the authority to make or revoke elections (including elections under sections 6221(b) and 6226 </w:t>
      </w:r>
      <w:r>
        <w:rPr>
          <w:rFonts w:ascii="Times New Roman" w:hAnsi="Times New Roman"/>
          <w:color w:val="0645AD"/>
          <w:u w:val="single"/>
          <w:sz w:val="24"/>
          <w:szCs w:val="24"/>
        </w:rPr>
        <w:t xml:space="preserve">one-class-of-stock requirement of section 1361 </w:t>
      </w:r>
      <w:r>
        <w:rPr>
          <w:rFonts w:ascii="Times New Roman" w:hAnsi="Times New Roman"/>
          <w:sz w:val="24"/>
          <w:szCs w:val="24"/>
        </w:rPr>
        <w:t xml:space="preserve">of the </w:t>
      </w:r>
      <w:r>
        <w:rPr>
          <w:rFonts w:ascii="Times New Roman" w:hAnsi="Times New Roman"/>
          <w:strike/>
          <w:color w:val="C00000"/>
          <w:sz w:val="24"/>
          <w:szCs w:val="24"/>
        </w:rPr>
        <w:t xml:space="preserve">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Code.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