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Next/>
        <w:widowControl/>
        <w:spacing w:after="80"/>
        <w:jc w:val="both"/>
      </w:pPr>
      <w:r>
        <w:rPr>
          <w:rStyle w:val="DraftingChoice"/>
          <w:rFonts w:ascii="Times New Roman" w:hAnsi="Times New Roman"/>
          <w:i/>
          <w:sz w:val="24"/>
          <w:szCs w:val="24"/>
        </w:rPr>
        <w:t xml:space="preserve">[If professional company:]</w:t>
      </w:r>
    </w:p>
    <w:p>
      <w:pPr>
        <w:widowControl/>
        <w:spacing w:after="160"/>
        <w:jc w:val="both"/>
      </w:pPr>
      <w:r>
        <w:rPr>
          <w:rFonts w:ascii="Times New Roman" w:hAnsi="Times New Roman"/>
          <w:b/>
          <w:sz w:val="24"/>
          <w:szCs w:val="24"/>
        </w:rPr>
        <w:t xml:space="preserve">Professional companies only.</w:t>
      </w:r>
      <w:r>
        <w:rPr>
          <w:rFonts w:ascii="Times New Roman" w:hAnsi="Times New Roman"/>
          <w:sz w:val="24"/>
          <w:szCs w:val="24"/>
        </w:rPr>
        <w:t xml:space="preserve"> Notwithstanding any other provision of this Agreement or any Series Exhibit, if the Company is organized as a professional limited liability company under Chapter 621, Florida Statutes, the Company and each Protected Series shall engage only in the professional services for which the Company was organized, together with investments and ownership of property permitted by s. 621.08. No Transfer of a Membership Interest or admission as a Member, including through a transfer-on-death designation, a permitted family Transfer, bankruptcy, or continuation after the last Member ceases to be a Member, is permitted unless the recipient is a professional corporation, professional limited liability company, or individual, each licensed or otherwise legally authorized to render the same specific professional services as those for which the Company was organized, as required by ss. 621.09(2) and 621.11(2). These requirements apply in addition to every other transfer and admission requirement of this Agreement, including any applicable S corporation shareholder eligibility requirement.</w:t>
      </w:r>
    </w:p>
    <w:p>
      <w:pPr>
        <w:widowControl/>
        <w:spacing w:after="80"/>
        <w:jc w:val="both"/>
      </w:pPr>
      <w:r>
        <w:rPr>
          <w:rStyle w:val="DraftingChoice"/>
          <w:rFonts w:ascii="Times New Roman" w:hAnsi="Times New Roman"/>
          <w:i/>
          <w:sz w:val="24"/>
          <w:szCs w:val="24"/>
        </w:rPr>
        <w:t xml:space="preserve">[End if professional company.]</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articles of dissolution of the Company, articles of protected series dissolution, and, after winding up a Protected Series, statements of designation cancellation,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or fractions of the whole, as set forth on Exhibit A; no certificates shall be issued unless the Manager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or as joint tenants with right of survivorship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Subject to Section 9.3(b),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w:t>
      </w:r>
      <w:r>
        <w:rPr>
          <w:rStyle w:val="DraftingChoice"/>
          <w:rFonts w:ascii="Times New Roman" w:hAnsi="Times New Roman"/>
          <w:i/>
          <w:sz w:val="24"/>
          <w:szCs w:val="24"/>
        </w:rPr>
        <w:t xml:space="preserve">[One manager: </w:t>
      </w:r>
      <w:r>
        <w:rPr>
          <w:rFonts w:ascii="Times New Roman" w:hAnsi="Times New Roman"/>
          <w:sz w:val="24"/>
          <w:szCs w:val="24"/>
        </w:rPr>
        <w:t xml:space="preserve">The initial Manager is [MANAGER NAMES].</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sz w:val="24"/>
          <w:szCs w:val="24"/>
        </w:rPr>
        <w:t xml:space="preserve">The initial Managers are [MANAGER NAMES].</w:t>
      </w:r>
      <w:r>
        <w:rPr>
          <w:rStyle w:val="DraftingChoice"/>
          <w:rFonts w:ascii="Times New Roman" w:hAnsi="Times New Roman"/>
          <w:i/>
          <w:sz w:val="24"/>
          <w:szCs w:val="24"/>
        </w:rPr>
        <w:t xml:space="preserve">]</w:t>
      </w:r>
      <w:r>
        <w:rPr>
          <w:rFonts w:ascii="Times New Roman" w:hAnsi="Times New Roman"/>
          <w:sz w:val="24"/>
          <w:szCs w:val="24"/>
        </w:rPr>
        <w:t xml:space="preserve">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articles of protected series dissolution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taken without the approval Section 5.4 requires;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acts without the approval Section 5.4 requires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a statement of authority to be filed with the Department for the Company or the relevant Protected Series under s. 605.0302, Florida Statutes, stating the authority, or the limitations on the authority, of the Manager, of any Protected Series Manager, or of any person holding a specified position, to transfer or encumber real property held in the name of the entity identified in the statement, and may cause a certified copy of that statement to be recorded in the official records of any county in which the real property is located. A statement concerning real property held in the name of the Company shall identify the Company as the entity whose authority is stated. A statement concerning real property held in the name of a Protected Series shall be filed for and identify that Protected Series as the entity whose authority is stated.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after="160"/>
        <w:jc w:val="both"/>
      </w:pPr>
      <w:r>
        <w:rPr>
          <w:rFonts w:ascii="Times New Roman" w:hAnsi="Times New Roman"/>
          <w:b/>
          <w:sz w:val="24"/>
          <w:szCs w:val="24"/>
        </w:rPr>
        <w:t xml:space="preserve">5.9 Competition; Other Activities of the Manager. [SELECT THE SAME ALTERNATIVE AS SECTION 4.7]</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by the Company to its Members — including distributions in liquidation of the Company — shall be made strictly pro rata in accordance with Percentage Interests, and every Membership Interest confers identical rights to distributions and liquidation proceeds. All distributions by a Protected Series, including in liquidation, shall be made solely to the Company as provided in Sections 7.2 and 14.2.</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The Members acknowledge that this Agreement imposes continuing managerial and governance obligations and is intended to be an executory contract. Under 11 U.S.C. § 365(c)(1) and applicable Florida law (including Chapter 605 and this Agreement), a trustee or debtor in possession may not assume or assign a debtor Member’s governance or management rights, or cause a substitute to be admitted as a Member, without the prior written consent of the other Members. Nothing in this Section limits the estate’s interest in a Member’s transferable (economic) interest to the extent permitted by applicable law.</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and only if that person is an eligible S corporation shareholder under section 1361 of the Code and the admission would not cause the number of shareholders to exceed the limit of that section, except that (a) a TOD beneficiary is admitted as provided in Section 4.11, and (b) a permitted family transferee under Section 10.2 may be admitted with the written consent of a Majority in Interest of the Members other than the transferor.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by the Company to its Members in winding up shall be made in proportion to Percentage Interests, so that every Membership Interest confers identical rights to liquidation proceeds. Distributions in winding up a Protected Series shall be made solely to the Company as provided in Section 14.2.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as of the Effective Date.</w:t>
      </w:r>
    </w:p>
    <w:p>
      <w:pPr>
        <w:keepNext/>
        <w:widowControl/>
        <w:spacing w:after="160"/>
        <w:jc w:val="both"/>
      </w:pPr>
      <w:r>
        <w:rPr>
          <w:rFonts w:ascii="Times New Roman" w:hAnsi="Times New Roman"/>
          <w:b/>
          <w:sz w:val="24"/>
          <w:szCs w:val="24"/>
        </w:rPr>
        <w:t xml:space="preserve">MEMBERS:</w:t>
      </w:r>
    </w:p>
    <w:p>
      <w:pPr>
        <w:keepNext/>
        <w:widowControl/>
        <w:spacing w:after="80"/>
        <w:jc w:val="both"/>
      </w:pPr>
      <w:r>
        <w:rPr>
          <w:rStyle w:val="DraftingChoice"/>
          <w:rFonts w:ascii="Times New Roman" w:hAnsi="Times New Roman"/>
          <w:i/>
          <w:sz w:val="24"/>
          <w:szCs w:val="24"/>
        </w:rPr>
        <w:t xml:space="preserve">[If joint ownership unit:]</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80"/>
        <w:jc w:val="both"/>
      </w:pPr>
      <w:r>
        <w:rPr>
          <w:rStyle w:val="DraftingChoice"/>
          <w:rFonts w:ascii="Times New Roman" w:hAnsi="Times New Roman"/>
          <w:i/>
          <w:sz w:val="24"/>
          <w:szCs w:val="24"/>
        </w:rPr>
        <w:t xml:space="preserve">[End if joint ownership unit.]</w:t>
      </w:r>
    </w:p>
    <w:p>
      <w:pPr>
        <w:keepNext/>
        <w:widowControl/>
        <w:spacing w:after="80"/>
        <w:jc w:val="both"/>
      </w:pPr>
      <w:r>
        <w:rPr>
          <w:rStyle w:val="DraftingChoice"/>
          <w:rFonts w:ascii="Times New Roman" w:hAnsi="Times New Roman"/>
          <w:i/>
          <w:sz w:val="24"/>
          <w:szCs w:val="24"/>
        </w:rPr>
        <w:t xml:space="preserve">[If individual signer:]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signer.]</w:t>
      </w:r>
    </w:p>
    <w:p>
      <w:pPr>
        <w:widowControl/>
        <w:spacing w:after="160"/>
        <w:jc w:val="both"/>
      </w:pPr>
      <w:r>
        <w:rPr>
          <w:rStyle w:val="DraftingChoice"/>
          <w:rFonts w:ascii="Times New Roman" w:hAnsi="Times New Roman"/>
          <w:i/>
          <w:sz w:val="24"/>
          <w:szCs w:val="24"/>
        </w:rPr>
        <w:t xml:space="preserve">[One manager: </w:t>
      </w:r>
      <w:r>
        <w:rPr>
          <w:rFonts w:ascii="Times New Roman" w:hAnsi="Times New Roman"/>
          <w:b/>
          <w:sz w:val="24"/>
          <w:szCs w:val="24"/>
        </w:rPr>
        <w:t xml:space="preserve">ACKNOWLEDGED AND AGREED BY MANAGER: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b/>
          <w:sz w:val="24"/>
          <w:szCs w:val="24"/>
        </w:rPr>
        <w:t xml:space="preserve">ACKNOWLEDGED AND AGREED BY MANAGERS:</w:t>
      </w:r>
      <w:r>
        <w:rPr>
          <w:rStyle w:val="DraftingChoice"/>
          <w:rFonts w:ascii="Times New Roman" w:hAnsi="Times New Roman"/>
          <w:i/>
          <w:sz w:val="24"/>
          <w:szCs w:val="24"/>
        </w:rPr>
        <w:t xml:space="preserve">]</w:t>
      </w:r>
    </w:p>
    <w:p>
      <w:pPr>
        <w:keepNext/>
        <w:widowControl/>
        <w:spacing w:after="80"/>
        <w:jc w:val="both"/>
      </w:pPr>
      <w:r>
        <w:rPr>
          <w:rStyle w:val="DraftingChoice"/>
          <w:rFonts w:ascii="Times New Roman" w:hAnsi="Times New Roman"/>
          <w:i/>
          <w:sz w:val="24"/>
          <w:szCs w:val="24"/>
        </w:rPr>
        <w:t xml:space="preserve">[If individual signer:]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 </w:t>
            </w:r>
            <w:r>
              <w:rPr>
                <w:rStyle w:val="DraftingChoice"/>
                <w:rFonts w:ascii="Times New Roman" w:hAnsi="Times New Roman"/>
                <w:i/>
                <w:sz w:val="22"/>
                <w:szCs w:val="22"/>
              </w:rPr>
              <w:t xml:space="preserve">[If joint holding: </w:t>
            </w:r>
            <w:r>
              <w:rPr>
                <w:rFonts w:ascii="Times New Roman" w:hAnsi="Times New Roman"/>
                <w:sz w:val="22"/>
                <w:szCs w:val="22"/>
              </w:rPr>
              <w:t xml:space="preserve">as [HOLDING]</w:t>
            </w:r>
            <w:r>
              <w:rPr>
                <w:rStyle w:val="DraftingChoice"/>
                <w:rFonts w:ascii="Times New Roman" w:hAnsi="Times New Roman"/>
                <w:i/>
                <w:sz w:val="22"/>
                <w:szCs w:val="22"/>
              </w:rPr>
              <w:t xml:space="preserve">]</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SHARE]</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CONTRIBUTION]</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BY]</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Retained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ASSETS]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(eligible S corporation shareholder)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w:t>
            </w:r>
            <w:r>
              <w:rPr>
                <w:rStyle w:val="DraftingChoice"/>
                <w:rFonts w:ascii="Times New Roman" w:hAnsi="Times New Roman"/>
                <w:i/>
                <w:sz w:val="22"/>
                <w:szCs w:val="22"/>
              </w:rPr>
              <w:t xml:space="preserve">[If married couple: </w:t>
            </w:r>
            <w:r>
              <w:rPr>
                <w:rFonts w:ascii="Times New Roman" w:hAnsi="Times New Roman"/>
                <w:sz w:val="22"/>
                <w:szCs w:val="22"/>
              </w:rPr>
              <w:t xml:space="preserve">(effective at the death of the last surviving spouse)</w:t>
            </w:r>
            <w:r>
              <w:rPr>
                <w:rStyle w:val="DraftingChoice"/>
                <w:rFonts w:ascii="Times New Roman" w:hAnsi="Times New Roman"/>
                <w:i/>
                <w:sz w:val="22"/>
                <w:szCs w:val="22"/>
              </w:rPr>
              <w:t xml:space="preserv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BACKUP]</w:t>
            </w:r>
          </w:p>
        </w:tc>
      </w:tr>
    </w:tbl>
    <w:p>
      <w:pPr>
        <w:widowControl/>
        <w:spacing w:after="0"/>
      </w:pPr>
      <w:r>
        <w:rPr>
          <w:rFonts w:ascii="Times New Roman" w:hAnsi="Times New Roman"/>
          <w:sz w:val="24"/>
        </w:rPr>
      </w:r>
    </w:p>
    <w:p>
      <w:pPr>
        <w:widowControl/>
        <w:spacing w:after="160"/>
        <w:jc w:val="both"/>
      </w:pPr>
      <w:r>
        <w:rPr>
          <w:rFonts w:ascii="Times New Roman" w:hAnsi="Times New Roman"/>
          <w:sz w:val="24"/>
          <w:szCs w:val="24"/>
        </w:rPr>
        <w:t xml:space="preserve">A designation is effective only in favor of a beneficiary that is an eligible S corporation shareholder (Section 9.3(b)).</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w:t>
            </w:r>
            <w:r>
              <w:rPr>
                <w:rStyle w:val="DraftingChoice"/>
                <w:rFonts w:ascii="Times New Roman" w:hAnsi="Times New Roman"/>
                <w:i/>
                <w:sz w:val="22"/>
                <w:szCs w:val="22"/>
              </w:rPr>
              <w:t xml:space="preserve">[If additional series purpose: </w:t>
            </w:r>
            <w:r>
              <w:rPr>
                <w:rFonts w:ascii="Times New Roman" w:hAnsi="Times New Roman"/>
                <w:sz w:val="22"/>
                <w:szCs w:val="22"/>
              </w:rPr>
              <w:t xml:space="preserve">, including, without limitation, [PURPOSE]</w:t>
            </w:r>
            <w:r>
              <w:rPr>
                <w:rStyle w:val="DraftingChoice"/>
                <w:rFonts w:ascii="Times New Roman" w:hAnsi="Times New Roman"/>
                <w:i/>
                <w:sz w:val="22"/>
                <w:szCs w:val="22"/>
              </w:rPr>
              <w:t xml:space="preserv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bl>
    <w:p>
      <w:pPr>
        <w:widowControl/>
        <w:spacing w:after="160"/>
      </w:pPr>
      <w:r>
        <w:rPr>
          <w:rFonts w:ascii="Times New Roman" w:hAnsi="Times New Roman"/>
          <w:sz w:val="24"/>
        </w:rPr>
      </w:r>
    </w:p>
    <w:p>
      <w:pPr>
        <w:widowControl/>
        <w:spacing w:after="160"/>
        <w:jc w:val="both"/>
      </w:pPr>
      <w:r>
        <w:rPr>
          <w:rStyle w:val="DraftingChoice"/>
          <w:rFonts w:ascii="Times New Roman" w:hAnsi="Times New Roman"/>
          <w:i/>
          <w:sz w:val="24"/>
          <w:szCs w:val="24"/>
        </w:rPr>
        <w:t xml:space="preserve">[One manager: </w:t>
      </w:r>
      <w:r>
        <w:rPr>
          <w:rFonts w:ascii="Times New Roman" w:hAnsi="Times New Roman"/>
          <w:b/>
          <w:sz w:val="24"/>
          <w:szCs w:val="24"/>
        </w:rPr>
        <w:t xml:space="preserve">Adopted effective [DATE] by the Company, acting through its Manager: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b/>
          <w:sz w:val="24"/>
          <w:szCs w:val="24"/>
        </w:rPr>
        <w:t xml:space="preserve">Adopted effective [DATE] by the Company, acting through its Managers:</w:t>
      </w:r>
      <w:r>
        <w:rPr>
          <w:rStyle w:val="DraftingChoice"/>
          <w:rFonts w:ascii="Times New Roman" w:hAnsi="Times New Roman"/>
          <w:i/>
          <w:sz w:val="24"/>
          <w:szCs w:val="24"/>
        </w:rPr>
        <w:t xml:space="preserve">]</w:t>
      </w:r>
    </w:p>
    <w:p>
      <w:pPr>
        <w:keepNext/>
        <w:widowControl/>
        <w:spacing w:after="80"/>
        <w:jc w:val="both"/>
      </w:pPr>
      <w:r>
        <w:rPr>
          <w:rStyle w:val="DraftingChoice"/>
          <w:rFonts w:ascii="Times New Roman" w:hAnsi="Times New Roman"/>
          <w:i/>
          <w:sz w:val="24"/>
          <w:szCs w:val="24"/>
        </w:rPr>
        <w:t xml:space="preserve">[If individual signer:]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widowControl/>
        <w:spacing w:after="160"/>
        <w:jc w:val="both"/>
      </w:pPr>
      <w:r>
        <w:rPr>
          <w:rFonts w:ascii="Times New Roman" w:hAnsi="Times New Roman"/>
          <w:sz w:val="24"/>
          <w:szCs w:val="24"/>
        </w:rPr>
        <w:t xml:space="preserve">[ADOPTER NAME], Protected Series Manager</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 S Corporation), v1 draft. Statutory citations in this form: ss. 48.062, 605.0102, 605.0302, 605.0502, 605.0503, 605.0702, 605.2101, 605.2103, 605.2107, 605.2201, 605.2301, 605.2302, 605.2303, 605.2304, 605.2401, 605.2602, 605.2605, 605.2607, 605.2802, 605.04074, 605.04091, 711.50, 711.501, 711.512, Fla. Stat.; 11 U.S.C. §365; In re Soderstrom, 484 B.R. 874 (M.D. Fla. 2013). Internal Revenue Code sections: 1361, 1362, 1366, 1377,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