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holding: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married couple: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in this form: ss. 48.062, 605.0102, 605.0302, 605.0502, 605.0503, 605.0702, 605.2101, 605.2103, 605.2107, 605.2201, 605.2301, 605.2302, 605.2303, 605.2304, 605.2401, 605.2602, 605.2605, 605.2607, 605.2802, 605.04074, 605.04091, 711.50, 711.501, 711.512, Fla. Stat.; 11 U.S.C. §365; In re Soderstrom, 484 B.R. 874 (M.D. Fla. 2013). Internal Revenue Code sections: 704, 754, 6221, 6223, 6226.</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