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Next/>
        <w:widowControl/>
        <w:spacing w:after="80"/>
        <w:jc w:val="both"/>
      </w:pPr>
      <w:r>
        <w:rPr>
          <w:rStyle w:val="DraftingChoice"/>
          <w:rFonts w:ascii="Times New Roman" w:hAnsi="Times New Roman"/>
          <w:i/>
          <w:sz w:val="24"/>
          <w:szCs w:val="24"/>
        </w:rPr>
        <w:t xml:space="preserve">[If professional company:]</w:t>
      </w:r>
    </w:p>
    <w:p>
      <w:pPr>
        <w:widowControl/>
        <w:spacing w:after="160"/>
        <w:jc w:val="both"/>
      </w:pP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80"/>
        <w:jc w:val="both"/>
      </w:pPr>
      <w:r>
        <w:rPr>
          <w:rStyle w:val="DraftingChoice"/>
          <w:rFonts w:ascii="Times New Roman" w:hAnsi="Times New Roman"/>
          <w:i/>
          <w:sz w:val="24"/>
          <w:szCs w:val="24"/>
        </w:rPr>
        <w:t xml:space="preserve">[End if professional company.]</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a Majority in Interest.</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or fractions of the whole, as set forth on Exhibit A;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of the Company, and no person shall be designated or hold out as a manager of the Company. The Members serve as protected-series managers as provided in Section 5.2.</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Members. As permitted by s. 605.2107(1)(n), Florida Statutes, this Section varies s. 605.2304(2) so that the Members, rather than the Company, are the protected-series managers of each Protected Series. Every decision with respect to a Protected Series is made by a Majority in Interest of the Members as provided in Section 5.3, and the Administrative Member performs for each Protected Series the ministerial functions described in Section 5.8. The Members have, with respect to each Protected Series, the rights, powers, and duties of protected-series managers under the Act, subject to this Agreement and the Series Exhibit.</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articles of protected series dissolution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a statement of authority to be filed with the Department for the Company or the relevant Protected Series under s. 605.0302, Florida Statutes, stating the authority, or the limitations on the authority, of Members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The Members acknowledge that this Agreement imposes continuing managerial and governance obligations and is intended to be an executory contract. Under 11 U.S.C. § 365(c)(1) and applicable Florida law (including Chapter 605 and this Agreement), a trustee or debtor in possession may not assume or assign a debtor Member’s governance or management rights, or cause a substitute to be admitted as a Member, without the prior written consent of the other Members. Nothing in this Section limits the estate’s interest in a Member’s transferable (economic) interest to the extent permitted by applicable law.</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account balances;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the Administrative Member may amend Exhibit A and the Series Exhibits without further consent solely to record changes duly made under this Agreement (admissions, Transfers, TOD designations, capital adjustments under Section 6.3).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as of the Effective Date.</w:t>
      </w:r>
    </w:p>
    <w:p>
      <w:pPr>
        <w:keepNext/>
        <w:widowControl/>
        <w:spacing w:after="160"/>
        <w:jc w:val="both"/>
      </w:pPr>
      <w:r>
        <w:rPr>
          <w:rFonts w:ascii="Times New Roman" w:hAnsi="Times New Roman"/>
          <w:b/>
          <w:sz w:val="24"/>
          <w:szCs w:val="24"/>
        </w:rPr>
        <w:t xml:space="preserve">MEMBERS:</w:t>
      </w:r>
    </w:p>
    <w:p>
      <w:pPr>
        <w:keepNext/>
        <w:widowControl/>
        <w:spacing w:after="80"/>
        <w:jc w:val="both"/>
      </w:pPr>
      <w:r>
        <w:rPr>
          <w:rStyle w:val="DraftingChoice"/>
          <w:rFonts w:ascii="Times New Roman" w:hAnsi="Times New Roman"/>
          <w:i/>
          <w:sz w:val="24"/>
          <w:szCs w:val="24"/>
        </w:rPr>
        <w:t xml:space="preserve">[If joint ownership unit:]</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80"/>
        <w:jc w:val="both"/>
      </w:pPr>
      <w:r>
        <w:rPr>
          <w:rStyle w:val="DraftingChoice"/>
          <w:rFonts w:ascii="Times New Roman" w:hAnsi="Times New Roman"/>
          <w:i/>
          <w:sz w:val="24"/>
          <w:szCs w:val="24"/>
        </w:rPr>
        <w:t xml:space="preserve">[End if joint ownership unit.]</w:t>
      </w:r>
    </w:p>
    <w:p>
      <w:pPr>
        <w:keepNext/>
        <w:widowControl/>
        <w:spacing w:after="80"/>
        <w:jc w:val="both"/>
      </w:pPr>
      <w:r>
        <w:rPr>
          <w:rStyle w:val="DraftingChoice"/>
          <w:rFonts w:ascii="Times New Roman" w:hAnsi="Times New Roman"/>
          <w:i/>
          <w:sz w:val="24"/>
          <w:szCs w:val="24"/>
        </w:rPr>
        <w:t xml:space="preserve">[If individual signer:]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 </w:t>
            </w:r>
            <w:r>
              <w:rPr>
                <w:rStyle w:val="DraftingChoice"/>
                <w:rFonts w:ascii="Times New Roman" w:hAnsi="Times New Roman"/>
                <w:i/>
                <w:sz w:val="22"/>
                <w:szCs w:val="22"/>
              </w:rPr>
              <w:t xml:space="preserve">[If joint holding: </w:t>
            </w:r>
            <w:r>
              <w:rPr>
                <w:rFonts w:ascii="Times New Roman" w:hAnsi="Times New Roman"/>
                <w:sz w:val="22"/>
                <w:szCs w:val="22"/>
              </w:rPr>
              <w:t xml:space="preserve">as [HOLDING]</w:t>
            </w:r>
            <w:r>
              <w:rPr>
                <w:rStyle w:val="DraftingChoice"/>
                <w:rFonts w:ascii="Times New Roman" w:hAnsi="Times New Roman"/>
                <w:i/>
                <w:sz w:val="22"/>
                <w:szCs w:val="22"/>
              </w:rPr>
              <w:t xml:space="preserv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SHARE]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CONTRIBUTION]</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BY]</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Retained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ASSETS]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w:t>
            </w:r>
            <w:r>
              <w:rPr>
                <w:rStyle w:val="DraftingChoice"/>
                <w:rFonts w:ascii="Times New Roman" w:hAnsi="Times New Roman"/>
                <w:i/>
                <w:sz w:val="22"/>
                <w:szCs w:val="22"/>
              </w:rPr>
              <w:t xml:space="preserve">[If married couple: </w:t>
            </w:r>
            <w:r>
              <w:rPr>
                <w:rFonts w:ascii="Times New Roman" w:hAnsi="Times New Roman"/>
                <w:sz w:val="22"/>
                <w:szCs w:val="22"/>
              </w:rPr>
              <w:t xml:space="preserve">(effective at the death of the last surviving spouse)</w:t>
            </w:r>
            <w:r>
              <w:rPr>
                <w:rStyle w:val="DraftingChoice"/>
                <w:rFonts w:ascii="Times New Roman" w:hAnsi="Times New Roman"/>
                <w:i/>
                <w:sz w:val="22"/>
                <w:szCs w:val="22"/>
              </w:rPr>
              <w:t xml:space="preserv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BACKUP]</w:t>
            </w:r>
          </w:p>
        </w:tc>
      </w:tr>
    </w:tbl>
    <w:p>
      <w:pPr>
        <w:widowControl/>
        <w:spacing w:after="0"/>
      </w:pPr>
      <w:r>
        <w:rPr>
          <w:rFonts w:ascii="Times New Roman" w:hAnsi="Times New Roman"/>
          <w:sz w:val="24"/>
        </w:rPr>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w:t>
            </w:r>
            <w:r>
              <w:rPr>
                <w:rStyle w:val="DraftingChoice"/>
                <w:rFonts w:ascii="Times New Roman" w:hAnsi="Times New Roman"/>
                <w:i/>
                <w:sz w:val="22"/>
                <w:szCs w:val="22"/>
              </w:rPr>
              <w:t xml:space="preserve">[If additional series purpose: </w:t>
            </w:r>
            <w:r>
              <w:rPr>
                <w:rFonts w:ascii="Times New Roman" w:hAnsi="Times New Roman"/>
                <w:sz w:val="22"/>
                <w:szCs w:val="22"/>
              </w:rPr>
              <w:t xml:space="preserve">, including, without limitation, [PURPOSE]</w:t>
            </w:r>
            <w:r>
              <w:rPr>
                <w:rStyle w:val="DraftingChoice"/>
                <w:rFonts w:ascii="Times New Roman" w:hAnsi="Times New Roman"/>
                <w:i/>
                <w:sz w:val="22"/>
                <w:szCs w:val="22"/>
              </w:rPr>
              <w:t xml:space="preserv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Members, as protected-series managers (s. 605.2304, Fla. Stat., as varied by Section 5.2 of the Agreement), acting by a Majority in Interest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keepNext/>
        <w:widowControl/>
        <w:spacing w:after="80"/>
        <w:jc w:val="both"/>
      </w:pPr>
      <w:r>
        <w:rPr>
          <w:rStyle w:val="DraftingChoice"/>
          <w:rFonts w:ascii="Times New Roman" w:hAnsi="Times New Roman"/>
          <w:i/>
          <w:sz w:val="24"/>
          <w:szCs w:val="24"/>
        </w:rPr>
        <w:t xml:space="preserve">[If individual signer:]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in this form: ss. 48.062, 605.0102, 605.0302, 605.0502, 605.0503, 605.0702, 605.2101, 605.2103, 605.2107, 605.2201, 605.2301, 605.2302, 605.2303, 605.2304, 605.2401, 605.2602, 605.2605, 605.2607, 605.2802, 605.04091, 711.50, 711.501, 711.512, Fla. Stat.; 11 U.S.C. §365; In re Soderstrom, 484 B.R. 874 (M.D. Fla. 2013). Internal Revenue Code sections: 704, 754, 6221, 6223, 6226.</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