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Next/>
        <w:widowControl/>
        <w:spacing w:after="80"/>
        <w:jc w:val="both"/>
      </w:pPr>
      <w:r>
        <w:rPr>
          <w:rStyle w:val="DraftingChoice"/>
          <w:rFonts w:ascii="Times New Roman" w:hAnsi="Times New Roman"/>
          <w:i/>
          <w:sz w:val="24"/>
          <w:szCs w:val="24"/>
        </w:rPr>
        <w:t xml:space="preserve">[If professional company:]</w:t>
      </w:r>
    </w:p>
    <w:p>
      <w:pPr>
        <w:widowControl/>
        <w:spacing w:after="160"/>
        <w:jc w:val="both"/>
      </w:pP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80"/>
        <w:jc w:val="both"/>
      </w:pPr>
      <w:r>
        <w:rPr>
          <w:rStyle w:val="DraftingChoice"/>
          <w:rFonts w:ascii="Times New Roman" w:hAnsi="Times New Roman"/>
          <w:i/>
          <w:sz w:val="24"/>
          <w:szCs w:val="24"/>
        </w:rPr>
        <w:t xml:space="preserve">[End if professional company.]</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Member.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2.12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The Member is authorized to execute and file each Protected Series Designation.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4.7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of the Company, and no person shall be designated or hold out as a manager of the Company. The Member serves as protected-series manager as provided in Section 5.2.</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a statement of authority to be filed with the Department for the Company or the relevant Protected Series under s. 605.0302, Florida Statutes, stating the authority, or the limitations on the authority, of the Member or of any person holding a specified position,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Member shall make, or cause to be made, all tax filings required of the Company or of any Protected Series and may make any tax election the Member determines to be in the Member's best interests,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Member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as of the Effective Date.</w:t>
      </w:r>
    </w:p>
    <w:p>
      <w:pPr>
        <w:keepNext/>
        <w:widowControl/>
        <w:spacing w:after="160"/>
        <w:jc w:val="both"/>
      </w:pPr>
      <w:r>
        <w:rPr>
          <w:rFonts w:ascii="Times New Roman" w:hAnsi="Times New Roman"/>
          <w:b/>
          <w:sz w:val="24"/>
          <w:szCs w:val="24"/>
        </w:rPr>
        <w:t xml:space="preserve">MEMBER:</w:t>
      </w:r>
    </w:p>
    <w:p>
      <w:pPr>
        <w:keepNext/>
        <w:widowControl/>
        <w:spacing w:after="80"/>
        <w:jc w:val="both"/>
      </w:pPr>
      <w:r>
        <w:rPr>
          <w:rStyle w:val="DraftingChoice"/>
          <w:rFonts w:ascii="Times New Roman" w:hAnsi="Times New Roman"/>
          <w:i/>
          <w:sz w:val="24"/>
          <w:szCs w:val="24"/>
        </w:rPr>
        <w:t xml:space="preserve">[If individual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member.]</w:t>
      </w:r>
    </w:p>
    <w:p>
      <w:pPr>
        <w:keepNext/>
        <w:widowControl/>
        <w:spacing w:after="80"/>
        <w:jc w:val="both"/>
      </w:pPr>
      <w:r>
        <w:rPr>
          <w:rStyle w:val="DraftingChoice"/>
          <w:rFonts w:ascii="Times New Roman" w:hAnsi="Times New Roman"/>
          <w:i/>
          <w:sz w:val="24"/>
          <w:szCs w:val="24"/>
        </w:rPr>
        <w:t xml:space="preserve">[If entity member:]</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member.]</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w:t>
            </w:r>
            <w:r>
              <w:rPr>
                <w:rStyle w:val="DraftingChoice"/>
                <w:rFonts w:ascii="Times New Roman" w:hAnsi="Times New Roman"/>
                <w:i/>
                <w:sz w:val="22"/>
                <w:szCs w:val="22"/>
              </w:rPr>
              <w:t xml:space="preserve">[If additional series purpose: </w:t>
            </w:r>
            <w:r>
              <w:rPr>
                <w:rFonts w:ascii="Times New Roman" w:hAnsi="Times New Roman"/>
                <w:sz w:val="22"/>
                <w:szCs w:val="22"/>
              </w:rPr>
              <w:t xml:space="preserve">, including, without limitation, [PURPOSE]</w:t>
            </w:r>
            <w:r>
              <w:rPr>
                <w:rStyle w:val="DraftingChoice"/>
                <w:rFonts w:ascii="Times New Roman" w:hAnsi="Times New Roman"/>
                <w:i/>
                <w:sz w:val="22"/>
                <w:szCs w:val="22"/>
              </w:rPr>
              <w:t xml:space="preserv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keepNext/>
        <w:widowControl/>
        <w:spacing w:after="80"/>
        <w:jc w:val="both"/>
      </w:pPr>
      <w:r>
        <w:rPr>
          <w:rStyle w:val="DraftingChoice"/>
          <w:rFonts w:ascii="Times New Roman" w:hAnsi="Times New Roman"/>
          <w:i/>
          <w:sz w:val="24"/>
          <w:szCs w:val="24"/>
        </w:rPr>
        <w:t xml:space="preserve">[If individual signer:]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Disregarded Entity), v1 draft. Statutory citations in this form: ss. 48.062, 605.0102, 605.0302, 605.0602, 605.2101, 605.2103, 605.2107, 605.2201, 605.2301, 605.2302, 605.2303, 605.2304, 605.2401, 605.2602, 605.2605, 605.2607, 605.2802, 711.50, 711.501, 711.512, Fla. Stat.</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