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Members who hold a Membership Interest jointly as tenants in common may not designate a TOD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BY] | [ASSET TO] |</w:t>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[SERIES] | [CONTRIBUTION] | [SERIES TOTAL]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Retained by the Company</w:t>
      </w:r>
      <w:r>
        <w:rPr>
          <w:rFonts w:ascii="Times New Roman" w:hAnsi="Times New Roman"/>
          <w:sz w:val="24"/>
          <w:szCs w:val="24"/>
        </w:rPr>
        <w:t xml:space="preserve"> | [RETAINED ASSETS] | [RETAINED]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