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(d) make, change, or revoke any election under the Code affecting the classification of the Company or of any Protected Series, or take any action described in Section 9.3.</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