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2.10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2.11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2.12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w:t>
      </w:r>
      <w:r>
        <w:rPr>
          <w:rFonts w:ascii="Times New Roman" w:hAnsi="Times New Roman"/>
          <w:sz w:val="24"/>
          <w:szCs w:val="24"/>
        </w:rPr>
        <w:t xml:space="preserve"> The Member shall cause to be prepared and filed all tax returns required of the Company (including Form 1120-S) and of each Protected Series, if necessary or required.</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4.5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any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shall seek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Member may make, change, or revoke any other tax election for the Company or any Protected Series that is consistent with maintaining the S corporation election.</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Member.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S Corporation), v1 draft. Statutory citations verified against Online Sunshine: ss. 605.2103, 605.2107, 605.2201, 605.2202, 605.2301, 605.2303, 605.2304, 605.2401, 605.2501, 605.2604, 605.0302, 605.04074, 48.062, 711.50–711.512, Fla. Stat. Code references: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