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templates-oa-member.md  →  templates-oa-member-s.md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201 paragraphs identical · 15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(Member-Managed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sz w:val="24"/>
          <w:szCs w:val="24"/>
        </w:rPr>
        <w:t xml:space="preserve">1.9 Filings.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"Administrative Member"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sz w:val="24"/>
          <w:szCs w:val="24"/>
        </w:rPr>
        <w:t xml:space="preserve">2.3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2.4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2.5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2.6 "Company" means [COMPANY NAME], LLC.</w:t>
      </w:r>
    </w:p>
    <w:p>
      <w:pPr>
        <w:keepLines/>
        <w:widowControl/>
        <w:spacing w:after="160"/>
        <w:jc w:val="both"/>
      </w:pPr>
      <w:r>
        <w:rPr>
          <w:rFonts w:ascii="Times New Roman" w:hAnsi="Times New Roman"/>
          <w:sz w:val="24"/>
          <w:szCs w:val="24"/>
        </w:rPr>
        <w:t xml:space="preserve">2.7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2.8 "Incapacitated"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sz w:val="24"/>
          <w:szCs w:val="24"/>
        </w:rPr>
        <w:t xml:space="preserve">2.9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2.10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 BY THE MEMBERS</w:t>
      </w:r>
    </w:p>
    <w:p>
      <w:pPr>
        <w:keepLines/>
        <w:widowControl/>
        <w:spacing w:after="160"/>
        <w:jc w:val="both"/>
      </w:pPr>
      <w:r>
        <w:rPr>
          <w:rFonts w:ascii="Times New Roman" w:hAnsi="Times New Roman"/>
          <w:sz w:val="24"/>
          <w:szCs w:val="24"/>
        </w:rPr>
        <w:t xml:space="preserve">5.1 Member-Managed. The Company is member-managed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sz w:val="24"/>
          <w:szCs w:val="24"/>
        </w:rPr>
        <w:t xml:space="preserve">5.2 Management of Each Protected Series.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keepLines/>
        <w:widowControl/>
        <w:spacing w:after="160"/>
        <w:jc w:val="both"/>
      </w:pPr>
      <w:r>
        <w:rPr>
          <w:rFonts w:ascii="Times New Roman" w:hAnsi="Times New Roman"/>
          <w:sz w:val="24"/>
          <w:szCs w:val="24"/>
        </w:rPr>
        <w:t xml:space="preserve">5.3 Voting; Decisions.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Lines/>
        <w:widowControl/>
        <w:spacing w:after="160"/>
        <w:jc w:val="both"/>
      </w:pPr>
      <w:r>
        <w:rPr>
          <w:rFonts w:ascii="Times New Roman" w:hAnsi="Times New Roman"/>
          <w:sz w:val="24"/>
          <w:szCs w:val="24"/>
        </w:rPr>
        <w:t xml:space="preserve">5.4 Authority to Act; Limits on Authority.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z w:val="24"/>
          <w:szCs w:val="24"/>
        </w:rPr>
        <w:t xml:space="preserve">5.6 Standard of Conduct; Exculpation.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5.7 Indemnification.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sz w:val="24"/>
          <w:szCs w:val="24"/>
        </w:rPr>
        <w:t xml:space="preserve">5.9 Statement of Authority.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sz w:val="24"/>
          <w:szCs w:val="24"/>
        </w:rPr>
        <w:t xml:space="preserve">5.10 Compensation; Reimbursement; Shared Expenses.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w:t>
      </w:r>
      <w:r>
        <w:rPr>
          <w:rFonts w:ascii="Times New Roman" w:hAnsi="Times New Roman"/>
          <w:strike/>
          <w:color w:val="C00000"/>
          <w:sz w:val="24"/>
          <w:szCs w:val="24"/>
        </w:rPr>
        <w:t xml:space="preserve">creates a deficit restoration obligation or otherwise </w:t>
      </w:r>
      <w:r>
        <w:rPr>
          <w:rFonts w:ascii="Times New Roman" w:hAnsi="Times New Roman"/>
          <w:sz w:val="24"/>
          <w:szCs w:val="24"/>
        </w:rPr>
        <w:t xml:space="preserve">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Administrative Member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such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a Majority in Interest may cause distributions to be made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Administrative Member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Administrative Member shall create and maintain, for the Company and for each Protected Series,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Administrative Member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if necessary or required,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Administrative Member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strike/>
          <w:color w:val="C00000"/>
          <w:sz w:val="24"/>
          <w:szCs w:val="24"/>
        </w:rPr>
        <w:t xml:space="preserve">a Majority in Interest designates) shall serve as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w:t>
      </w:r>
      <w:r>
        <w:rPr>
          <w:rFonts w:ascii="Times New Roman" w:hAnsi="Times New Roman"/>
          <w:color w:val="0645AD"/>
          <w:u w:val="single"/>
          <w:sz w:val="24"/>
          <w:szCs w:val="24"/>
        </w:rPr>
        <w:t xml:space="preserve">Code, and any purported Transfer in violation of this clause is null and void ab initio and shall be given no force or effect </w:t>
      </w:r>
      <w:r>
        <w:rPr>
          <w:rFonts w:ascii="Times New Roman" w:hAnsi="Times New Roman"/>
          <w:sz w:val="24"/>
          <w:szCs w:val="24"/>
        </w:rPr>
        <w:t xml:space="preserve">for </w:t>
      </w:r>
      <w:r>
        <w:rPr>
          <w:rFonts w:ascii="Times New Roman" w:hAnsi="Times New Roman"/>
          <w:strike/>
          <w:color w:val="C00000"/>
          <w:sz w:val="24"/>
          <w:szCs w:val="24"/>
        </w:rPr>
        <w:t xml:space="preserve">the Company </w:t>
      </w:r>
      <w:r>
        <w:rPr>
          <w:rFonts w:ascii="Times New Roman" w:hAnsi="Times New Roman"/>
          <w:color w:val="0645AD"/>
          <w:u w:val="single"/>
          <w:sz w:val="24"/>
          <w:szCs w:val="24"/>
        </w:rPr>
        <w:t xml:space="preserve">any purpose;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3.6(c), Section 4.2, and the one-class-of-stock requirement of section 1361 of </w:t>
      </w:r>
      <w:r>
        <w:rPr>
          <w:rFonts w:ascii="Times New Roman" w:hAnsi="Times New Roman"/>
          <w:sz w:val="24"/>
          <w:szCs w:val="24"/>
        </w:rPr>
        <w:t xml:space="preserve">the Code, </w:t>
      </w:r>
      <w:r>
        <w:rPr>
          <w:rFonts w:ascii="Times New Roman" w:hAnsi="Times New Roman"/>
          <w:strike/>
          <w:color w:val="C00000"/>
          <w:sz w:val="24"/>
          <w:szCs w:val="24"/>
        </w:rPr>
        <w:t xml:space="preserve">including the authority to make </w:t>
      </w:r>
      <w:r>
        <w:rPr>
          <w:rFonts w:ascii="Times New Roman" w:hAnsi="Times New Roman"/>
          <w:color w:val="0645AD"/>
          <w:u w:val="single"/>
          <w:sz w:val="24"/>
          <w:szCs w:val="24"/>
        </w:rPr>
        <w:t xml:space="preserve">and any such establishment, issuance, </w:t>
      </w:r>
      <w:r>
        <w:rPr>
          <w:rFonts w:ascii="Times New Roman" w:hAnsi="Times New Roman"/>
          <w:sz w:val="24"/>
          <w:szCs w:val="24"/>
        </w:rPr>
        <w:t xml:space="preserve">or </w:t>
      </w:r>
      <w:r>
        <w:rPr>
          <w:rFonts w:ascii="Times New Roman" w:hAnsi="Times New Roman"/>
          <w:strike/>
          <w:color w:val="C00000"/>
          <w:sz w:val="24"/>
          <w:szCs w:val="24"/>
        </w:rPr>
        <w:t xml:space="preserve">revoke elections (including elections under sections 6221(b) </w:t>
      </w:r>
      <w:r>
        <w:rPr>
          <w:rFonts w:ascii="Times New Roman" w:hAnsi="Times New Roman"/>
          <w:color w:val="0645AD"/>
          <w:u w:val="single"/>
          <w:sz w:val="24"/>
          <w:szCs w:val="24"/>
        </w:rPr>
        <w:t xml:space="preserve">adjustment in violation of this clause is null </w:t>
      </w:r>
      <w:r>
        <w:rPr>
          <w:rFonts w:ascii="Times New Roman" w:hAnsi="Times New Roman"/>
          <w:sz w:val="24"/>
          <w:szCs w:val="24"/>
        </w:rPr>
        <w:t xml:space="preserve">and </w:t>
      </w:r>
      <w:r>
        <w:rPr>
          <w:rFonts w:ascii="Times New Roman" w:hAnsi="Times New Roman"/>
          <w:strike/>
          <w:color w:val="C00000"/>
          <w:sz w:val="24"/>
          <w:szCs w:val="24"/>
        </w:rPr>
        <w:t xml:space="preserve">6226 of the Code), to conduct and resolve audits and proceedings, and to bind the Members as the Code provides. Each Member shall provide the information, and take the actions, reasonably requested by the partnership representative in connection with any tax matter, </w:t>
      </w:r>
      <w:r>
        <w:rPr>
          <w:rFonts w:ascii="Times New Roman" w:hAnsi="Times New Roman"/>
          <w:color w:val="0645AD"/>
          <w:u w:val="single"/>
          <w:sz w:val="24"/>
          <w:szCs w:val="24"/>
        </w:rPr>
        <w:t xml:space="preserve">void ab initio </w:t>
      </w:r>
      <w:r>
        <w:rPr>
          <w:rFonts w:ascii="Times New Roman" w:hAnsi="Times New Roman"/>
          <w:sz w:val="24"/>
          <w:szCs w:val="24"/>
        </w:rPr>
        <w:t xml:space="preserve">and shall </w:t>
      </w:r>
      <w:r>
        <w:rPr>
          <w:rFonts w:ascii="Times New Roman" w:hAnsi="Times New Roman"/>
          <w:strike/>
          <w:color w:val="C00000"/>
          <w:sz w:val="24"/>
          <w:szCs w:val="24"/>
        </w:rPr>
        <w:t xml:space="preserve">pay the Member's share of </w:t>
      </w:r>
      <w:r>
        <w:rPr>
          <w:rFonts w:ascii="Times New Roman" w:hAnsi="Times New Roman"/>
          <w:color w:val="0645AD"/>
          <w:u w:val="single"/>
          <w:sz w:val="24"/>
          <w:szCs w:val="24"/>
        </w:rPr>
        <w:t xml:space="preserve">be given no force or effect for </w:t>
      </w:r>
      <w:r>
        <w:rPr>
          <w:rFonts w:ascii="Times New Roman" w:hAnsi="Times New Roman"/>
          <w:sz w:val="24"/>
          <w:szCs w:val="24"/>
        </w:rPr>
        <w:t xml:space="preserve">any </w:t>
      </w:r>
      <w:r>
        <w:rPr>
          <w:rFonts w:ascii="Times New Roman" w:hAnsi="Times New Roman"/>
          <w:strike/>
          <w:color w:val="C00000"/>
          <w:sz w:val="24"/>
          <w:szCs w:val="24"/>
        </w:rPr>
        <w:t xml:space="preserve">imputed underpayment or similar amount attributable to the Member as reasonably determined by the partnership representative. </w:t>
      </w:r>
      <w:r>
        <w:rPr>
          <w:rFonts w:ascii="Times New Roman" w:hAnsi="Times New Roman"/>
          <w:color w:val="0645AD"/>
          <w:u w:val="single"/>
          <w:sz w:val="24"/>
          <w:szCs w:val="24"/>
        </w:rPr>
        <w:t xml:space="preserve">purpose.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A Majority in Interest may make, change, or revoke any tax election for the Company or any Protected Series (including an election under section 754 of the Code) that it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a Majority in Interest selects another permitted year. </w:t>
      </w:r>
      <w:r>
        <w:rPr>
          <w:rFonts w:ascii="Times New Roman" w:hAnsi="Times New Roman"/>
          <w:color w:val="0645AD"/>
          <w:u w:val="single"/>
          <w:sz w:val="24"/>
          <w:szCs w:val="24"/>
        </w:rPr>
        <w:t xml:space="preserve">be interpreted, applied, and administered consistent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a Majority in Interest.</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w:t>
      </w:r>
      <w:r>
        <w:rPr>
          <w:rFonts w:ascii="Times New Roman" w:hAnsi="Times New Roman"/>
          <w:strike/>
          <w:color w:val="C00000"/>
          <w:sz w:val="24"/>
          <w:szCs w:val="24"/>
        </w:rPr>
        <w:t xml:space="preserve">Deficit Obligation; </w:t>
      </w:r>
      <w:r>
        <w:rPr>
          <w:rFonts w:ascii="Times New Roman" w:hAnsi="Times New Roman"/>
          <w:color w:val="0645AD"/>
          <w:u w:val="single"/>
          <w:sz w:val="24"/>
          <w:szCs w:val="24"/>
        </w:rPr>
        <w:t xml:space="preserve">Obligation to Contribute; </w:t>
      </w:r>
      <w:r>
        <w:rPr>
          <w:rFonts w:ascii="Times New Roman" w:hAnsi="Times New Roman"/>
          <w:sz w:val="24"/>
          <w:szCs w:val="24"/>
        </w:rPr>
        <w:t xml:space="preserve">Recourse Limited. No Member shall have any obligation </w:t>
      </w:r>
      <w:r>
        <w:rPr>
          <w:rFonts w:ascii="Times New Roman" w:hAnsi="Times New Roman"/>
          <w:strike/>
          <w:color w:val="C00000"/>
          <w:sz w:val="24"/>
          <w:szCs w:val="24"/>
        </w:rPr>
        <w:t xml:space="preserve">to restore any deficit or </w:t>
      </w:r>
      <w:r>
        <w:rPr>
          <w:rFonts w:ascii="Times New Roman" w:hAnsi="Times New Roman"/>
          <w:sz w:val="24"/>
          <w:szCs w:val="24"/>
        </w:rPr>
        <w:t xml:space="preserve">to contribute capital in connection with any winding up (beyond unpaid contributions duly required under Sections 6.1 and 6.2), and each creditor of the Company or of any Protected Series shall look solely to the Associated Assets of its obligor. </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[SIGNATORY NAME]</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NAME]&lt;!-- if:holding --&gt; as [HOLDING]&lt;!-- /if --&gt; | [MEMBER ADDRESS] | [MEMBER SHARE] | [MEMBER CONTRIBUTION] | [MEMBER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TOD]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Managed by | The Company, as protected-series manager (s. 605.2304(2), Fla. Stat.), acting through a Majority in Interest of the Members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[ADOPTER NAME],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(Member-Managed, Multiple Members </w:t>
      </w:r>
      <w:r>
        <w:rPr>
          <w:rFonts w:ascii="Times New Roman" w:hAnsi="Times New Roman"/>
          <w:color w:val="0645AD"/>
          <w:u w:val="single"/>
          <w:sz w:val="24"/>
          <w:szCs w:val="24"/>
        </w:rPr>
        <w:t xml:space="preserve">(Member-Managed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p>
      <w:pPr>
        <w:keepLines/>
        <w:widowControl/>
        <w:spacing w:after="160"/>
        <w:jc w:val="both"/>
      </w:pPr>
      <w:r>
        <w:rPr>
          <w:rFonts w:ascii="Times New Roman" w:hAnsi="Times New Roman"/>
          <w:sz w:val="24"/>
          <w:szCs w:val="24"/>
        </w:rPr>
        <w:t xml:space="preserve">[TITLE] of [COMPANY NAME], LLC — generated by MyFloridaSeriesLLC · Master [EDITION]</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