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144 paragraphs identical · 28 changed · 0 only in the first · 16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Company, </w:t>
      </w:r>
      <w:r>
        <w:rPr>
          <w:rFonts w:ascii="Times New Roman" w:hAnsi="Times New Roman"/>
          <w:color w:val="0645AD"/>
          <w:u w:val="single"/>
          <w:sz w:val="24"/>
          <w:szCs w:val="24"/>
        </w:rPr>
        <w:t xml:space="preserve">Company 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the Member, and the Manager.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named </w:t>
      </w:r>
      <w:r>
        <w:rPr>
          <w:rFonts w:ascii="Times New Roman" w:hAnsi="Times New Roman"/>
          <w:color w:val="0645AD"/>
          <w:u w:val="single"/>
          <w:sz w:val="24"/>
          <w:szCs w:val="24"/>
        </w:rPr>
        <w:t xml:space="preserve">to be incapacitated or has appointed a guardian of the person's property, or (b) two licensed physicians have certified </w:t>
      </w:r>
      <w:r>
        <w:rPr>
          <w:rFonts w:ascii="Times New Roman" w:hAnsi="Times New Roman"/>
          <w:sz w:val="24"/>
          <w:szCs w:val="24"/>
        </w:rPr>
        <w:t xml:space="preserve">in </w:t>
      </w:r>
      <w:r>
        <w:rPr>
          <w:rFonts w:ascii="Times New Roman" w:hAnsi="Times New Roman"/>
          <w:strike/>
          <w:color w:val="C00000"/>
          <w:sz w:val="24"/>
          <w:szCs w:val="24"/>
        </w:rPr>
        <w:t xml:space="preserve">Section 5.1 and any successor designated under this Agreement. </w:t>
      </w:r>
      <w:r>
        <w:rPr>
          <w:rFonts w:ascii="Times New Roman" w:hAnsi="Times New Roman"/>
          <w:color w:val="0645AD"/>
          <w:u w:val="single"/>
          <w:sz w:val="24"/>
          <w:szCs w:val="24"/>
        </w:rPr>
        <w:t xml:space="preserve">writing that the person is unable to manage the person's financial affairs. A 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"Manager" </w:t>
      </w:r>
      <w:r>
        <w:rPr>
          <w:rFonts w:ascii="Times New Roman" w:hAnsi="Times New Roman"/>
          <w:sz w:val="24"/>
          <w:szCs w:val="24"/>
        </w:rPr>
        <w:t xml:space="preserve">means the person </w:t>
      </w:r>
      <w:r>
        <w:rPr>
          <w:rFonts w:ascii="Times New Roman" w:hAnsi="Times New Roman"/>
          <w:strike/>
          <w:color w:val="C00000"/>
          <w:sz w:val="24"/>
          <w:szCs w:val="24"/>
        </w:rPr>
        <w:t xml:space="preserve">identified as such on Exhibit A </w:t>
      </w:r>
      <w:r>
        <w:rPr>
          <w:rFonts w:ascii="Times New Roman" w:hAnsi="Times New Roman"/>
          <w:color w:val="0645AD"/>
          <w:u w:val="single"/>
          <w:sz w:val="24"/>
          <w:szCs w:val="24"/>
        </w:rPr>
        <w:t xml:space="preserve">named in Section 5.1 </w:t>
      </w:r>
      <w:r>
        <w:rPr>
          <w:rFonts w:ascii="Times New Roman" w:hAnsi="Times New Roman"/>
          <w:sz w:val="24"/>
          <w:szCs w:val="24"/>
        </w:rPr>
        <w:t xml:space="preserve">and any successor </w:t>
      </w:r>
      <w:r>
        <w:rPr>
          <w:rFonts w:ascii="Times New Roman" w:hAnsi="Times New Roman"/>
          <w:strike/>
          <w:color w:val="C00000"/>
          <w:sz w:val="24"/>
          <w:szCs w:val="24"/>
        </w:rPr>
        <w:t xml:space="preserve">admitted in accordance with </w:t>
      </w:r>
      <w:r>
        <w:rPr>
          <w:rFonts w:ascii="Times New Roman" w:hAnsi="Times New Roman"/>
          <w:color w:val="0645AD"/>
          <w:u w:val="single"/>
          <w:sz w:val="24"/>
          <w:szCs w:val="24"/>
        </w:rPr>
        <w:t xml:space="preserve">designated under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2.12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2.13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Designation"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w:t>
      </w:r>
      <w:r>
        <w:rPr>
          <w:rFonts w:ascii="Times New Roman" w:hAnsi="Times New Roman"/>
          <w:color w:val="0645AD"/>
          <w:u w:val="single"/>
          <w:sz w:val="24"/>
          <w:szCs w:val="24"/>
        </w:rPr>
        <w:t xml:space="preserve">a designation </w:t>
      </w:r>
      <w:r>
        <w:rPr>
          <w:rFonts w:ascii="Times New Roman" w:hAnsi="Times New Roman"/>
          <w:sz w:val="24"/>
          <w:szCs w:val="24"/>
        </w:rPr>
        <w:t xml:space="preserve">of 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Section 5.2.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"Series Exhibit" means, </w:t>
      </w:r>
      <w:r>
        <w:rPr>
          <w:rFonts w:ascii="Times New Roman" w:hAnsi="Times New Roman"/>
          <w:color w:val="0645AD"/>
          <w:u w:val="single"/>
          <w:sz w:val="24"/>
          <w:szCs w:val="24"/>
        </w:rPr>
        <w:t xml:space="preserve">"Protected Series Manager" means the person responsible </w:t>
      </w:r>
      <w:r>
        <w:rPr>
          <w:rFonts w:ascii="Times New Roman" w:hAnsi="Times New Roman"/>
          <w:sz w:val="24"/>
          <w:szCs w:val="24"/>
        </w:rPr>
        <w:t xml:space="preserve">for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management of a </w:t>
      </w:r>
      <w:r>
        <w:rPr>
          <w:rFonts w:ascii="Times New Roman" w:hAnsi="Times New Roman"/>
          <w:sz w:val="24"/>
          <w:szCs w:val="24"/>
        </w:rPr>
        <w:t xml:space="preserve">Protected </w:t>
      </w:r>
      <w:r>
        <w:rPr>
          <w:rFonts w:ascii="Times New Roman" w:hAnsi="Times New Roman"/>
          <w:strike/>
          <w:color w:val="C00000"/>
          <w:sz w:val="24"/>
          <w:szCs w:val="24"/>
        </w:rPr>
        <w:t xml:space="preserve">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Exhibit is a part of this Agreement. </w:t>
      </w:r>
      <w:r>
        <w:rPr>
          <w:rFonts w:ascii="Times New Roman" w:hAnsi="Times New Roman"/>
          <w:color w:val="0645AD"/>
          <w:u w:val="single"/>
          <w:sz w:val="24"/>
          <w:szCs w:val="24"/>
        </w:rPr>
        <w:t xml:space="preserve">under Section 5.2.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Manager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No Agency by Status. The Member is not an agent of the Company or of any Protected Series solely by reason of being a member.</w:t>
      </w:r>
    </w:p>
    <w:p>
      <w:pPr>
        <w:keepLines/>
        <w:widowControl/>
        <w:spacing w:after="160"/>
        <w:jc w:val="both"/>
      </w:pPr>
      <w:r>
        <w:rPr>
          <w:rFonts w:ascii="Times New Roman" w:hAnsi="Times New Roman"/>
          <w:sz w:val="24"/>
          <w:szCs w:val="24"/>
        </w:rPr>
        <w:t xml:space="preserve">4.5 Other Activities.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4.6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4.7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w:t>
      </w:r>
      <w:r>
        <w:rPr>
          <w:rFonts w:ascii="Times New Roman" w:hAnsi="Times New Roman"/>
          <w:strike/>
          <w:color w:val="C00000"/>
          <w:sz w:val="24"/>
          <w:szCs w:val="24"/>
        </w:rPr>
        <w:t xml:space="preserve">or </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w:t>
      </w:r>
      <w:r>
        <w:rPr>
          <w:rFonts w:ascii="Times New Roman" w:hAnsi="Times New Roman"/>
          <w:strike/>
          <w:color w:val="C00000"/>
          <w:sz w:val="24"/>
          <w:szCs w:val="24"/>
        </w:rPr>
        <w:t xml:space="preserve">one. </w:t>
      </w:r>
      <w:r>
        <w:rPr>
          <w:rFonts w:ascii="Times New Roman" w:hAnsi="Times New Roman"/>
          <w:color w:val="0645AD"/>
          <w:u w:val="single"/>
          <w:sz w:val="24"/>
          <w:szCs w:val="24"/>
        </w:rPr>
        <w:t xml:space="preserve">one; or </w:t>
      </w:r>
    </w:p>
    <w:p>
      <w:pPr>
        <w:keepLines/>
        <w:widowControl/>
        <w:spacing w:after="160"/>
        <w:jc w:val="both"/>
      </w:pPr>
      <w:r>
        <w:rPr>
          <w:rFonts w:ascii="Times New Roman" w:hAnsi="Times New Roman"/>
          <w:color w:val="0645AD"/>
          <w:u w:val="single"/>
          <w:sz w:val="24"/>
          <w:szCs w:val="24"/>
        </w:rPr>
        <w:t xml:space="preserve">(d) make, change, or revoke any election under the Code affecting the classification of the Company or of any Protected Series, or take any action described in Section 9.3.</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The records of the Company that the Member may inspect include the records maintained under this Article for every Protected Series.</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The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disregarded as an entity separate from </w:t>
      </w:r>
      <w:r>
        <w:rPr>
          <w:rFonts w:ascii="Times New Roman" w:hAnsi="Times New Roman"/>
          <w:color w:val="0645AD"/>
          <w:u w:val="single"/>
          <w:sz w:val="24"/>
          <w:szCs w:val="24"/>
        </w:rPr>
        <w:t xml:space="preserve">revoked without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Member's written consent.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Information. </w:t>
      </w:r>
      <w:r>
        <w:rPr>
          <w:rFonts w:ascii="Times New Roman" w:hAnsi="Times New Roman"/>
          <w:sz w:val="24"/>
          <w:szCs w:val="24"/>
        </w:rPr>
        <w:t xml:space="preserve">The Manager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w:t>
      </w:r>
      <w:r>
        <w:rPr>
          <w:rFonts w:ascii="Times New Roman" w:hAnsi="Times New Roman"/>
          <w:color w:val="0645AD"/>
          <w:u w:val="single"/>
          <w:sz w:val="24"/>
          <w:szCs w:val="24"/>
        </w:rPr>
        <w:t xml:space="preserve">required, </w:t>
      </w:r>
      <w:r>
        <w:rPr>
          <w:rFonts w:ascii="Times New Roman" w:hAnsi="Times New Roman"/>
          <w:sz w:val="24"/>
          <w:szCs w:val="24"/>
        </w:rPr>
        <w:t xml:space="preserve">and </w:t>
      </w:r>
      <w:r>
        <w:rPr>
          <w:rFonts w:ascii="Times New Roman" w:hAnsi="Times New Roman"/>
          <w:strike/>
          <w:color w:val="C00000"/>
          <w:sz w:val="24"/>
          <w:szCs w:val="24"/>
        </w:rPr>
        <w:t xml:space="preserve">may make any tax election the Manager determines </w:t>
      </w:r>
      <w:r>
        <w:rPr>
          <w:rFonts w:ascii="Times New Roman" w:hAnsi="Times New Roman"/>
          <w:color w:val="0645AD"/>
          <w:u w:val="single"/>
          <w:sz w:val="24"/>
          <w:szCs w:val="24"/>
        </w:rPr>
        <w:t xml:space="preserve">shall deliver </w:t>
      </w:r>
      <w:r>
        <w:rPr>
          <w:rFonts w:ascii="Times New Roman" w:hAnsi="Times New Roman"/>
          <w:sz w:val="24"/>
          <w:szCs w:val="24"/>
        </w:rPr>
        <w:t xml:space="preserve">to </w:t>
      </w:r>
      <w:r>
        <w:rPr>
          <w:rFonts w:ascii="Times New Roman" w:hAnsi="Times New Roman"/>
          <w:strike/>
          <w:color w:val="C00000"/>
          <w:sz w:val="24"/>
          <w:szCs w:val="24"/>
        </w:rPr>
        <w:t xml:space="preserve">be in the best interests of </w:t>
      </w:r>
      <w:r>
        <w:rPr>
          <w:rFonts w:ascii="Times New Roman" w:hAnsi="Times New Roman"/>
          <w:sz w:val="24"/>
          <w:szCs w:val="24"/>
        </w:rPr>
        <w:t xml:space="preserve">the Member, </w:t>
      </w:r>
      <w:r>
        <w:rPr>
          <w:rFonts w:ascii="Times New Roman" w:hAnsi="Times New Roman"/>
          <w:strike/>
          <w:color w:val="C00000"/>
          <w:sz w:val="24"/>
          <w:szCs w:val="24"/>
        </w:rPr>
        <w:t xml:space="preserve">consistent with Section 9.1. </w:t>
      </w:r>
      <w:r>
        <w:rPr>
          <w:rFonts w:ascii="Times New Roman" w:hAnsi="Times New Roman"/>
          <w:color w:val="0645AD"/>
          <w:u w:val="single"/>
          <w:sz w:val="24"/>
          <w:szCs w:val="24"/>
        </w:rPr>
        <w:t xml:space="preserve">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Manager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r>
        <w:rPr>
          <w:rFonts w:ascii="Times New Roman" w:hAnsi="Times New Roman"/>
          <w:color w:val="0645AD"/>
          <w:u w:val="single"/>
          <w:sz w:val="24"/>
          <w:szCs w:val="24"/>
        </w:rPr>
        <w:t xml:space="preserve">Code references: sections 1361, 1362, 1378.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