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84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the Associated Assets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solely to the Company;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w:t>
      </w:r>
      <w:r>
        <w:rPr>
          <w:rFonts w:ascii="Times New Roman" w:hAnsi="Times New Roman"/>
          <w:color w:val="0645AD"/>
          <w:u w:val="single"/>
          <w:sz w:val="24"/>
          <w:szCs w:val="24"/>
        </w:rPr>
        <w:t xml:space="preserve">Company, to </w:t>
      </w:r>
      <w:r>
        <w:rPr>
          <w:rFonts w:ascii="Times New Roman" w:hAnsi="Times New Roman"/>
          <w:sz w:val="24"/>
          <w:szCs w:val="24"/>
        </w:rPr>
        <w:t xml:space="preserve">the </w:t>
      </w:r>
      <w:r>
        <w:rPr>
          <w:rFonts w:ascii="Times New Roman" w:hAnsi="Times New Roman"/>
          <w:strike/>
          <w:color w:val="C00000"/>
          <w:sz w:val="24"/>
          <w:szCs w:val="24"/>
        </w:rPr>
        <w:t xml:space="preserve">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Member.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Section 13.1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