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Multiple Members / Partnership Taxation)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after="160"/>
        <w:jc w:val="both"/>
      </w:pPr>
      <w:r>
        <w:rPr>
          <w:rFonts w:ascii="Times New Roman" w:hAnsi="Times New Roman"/>
          <w:b/>
          <w:sz w:val="24"/>
          <w:szCs w:val="24"/>
        </w:rPr>
        <w:t xml:space="preserve">5.9 Competition; Other Activities of the Manager. [SELECT THE SAME ALTERNATIVE AS SECTION 4.7]</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widowControl/>
        <w:spacing w:before="240" w:after="200"/>
      </w:pPr>
      <w:r>
        <w:rPr>
          <w:rFonts w:ascii="Times New Roman" w:hAnsi="Times New Roman"/>
          <w:b/>
          <w:sz w:val="26"/>
          <w:szCs w:val="26"/>
        </w:rPr>
        <w:t xml:space="preserve">ARTICLE 6 — CAPITAL; CAPITAL ACCOUNTS</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Manager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Manager (or a person the Manager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The Manager may make, change, or revoke any tax election for the Company or any Protected Series (including an election under section 754 of the Code) that the Manager determines to be in the best interests of the Members as a whole.</w:t>
      </w:r>
    </w:p>
    <w:p>
      <w:pPr>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widowControl/>
        <w:spacing w:after="160"/>
        <w:jc w:val="both"/>
      </w:pPr>
      <w:r>
        <w:rPr>
          <w:rFonts w:ascii="Times New Roman" w:hAnsi="Times New Roman"/>
          <w:b/>
          <w:sz w:val="24"/>
          <w:szCs w:val="24"/>
        </w:rPr>
        <w:t xml:space="preserve">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b/>
          <w:sz w:val="24"/>
          <w:szCs w:val="24"/>
        </w:rPr>
        <w:t xml:space="preserve">ACKNOWLEDGED AND AGREED BY MANAGER:</w:t>
      </w:r>
    </w:p>
    <w:p>
      <w:pPr>
        <w:widowControl/>
        <w:spacing w:after="160"/>
        <w:jc w:val="both"/>
      </w:pPr>
      <w:r>
        <w:rPr>
          <w:rFonts w:ascii="Times New Roman" w:hAnsi="Times New Roman"/>
          <w:sz w:val="24"/>
          <w:szCs w:val="24"/>
        </w:rPr>
        <w:t xml:space="preserve">[MANAGER SIGNATURE BLOCKS]</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