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templates-oa-member-single.md  →  templates-oa-member-single-s.md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140 paragraphs identical · 23 changed · 0 only in the first · 15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w:t>
      </w:r>
      <w:r>
        <w:rPr>
          <w:rFonts w:ascii="Times New Roman" w:hAnsi="Times New Roman"/>
          <w:sz w:val="24"/>
          <w:szCs w:val="24"/>
        </w:rPr>
        <w:t xml:space="preserve">Company </w:t>
      </w:r>
      <w:r>
        <w:rPr>
          <w:rFonts w:ascii="Times New Roman" w:hAnsi="Times New Roman"/>
          <w:color w:val="0645AD"/>
          <w:u w:val="single"/>
          <w:sz w:val="24"/>
          <w:szCs w:val="24"/>
        </w:rPr>
        <w:t xml:space="preserve">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manages it, and 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and the Member.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Member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keepLines/>
        <w:widowControl/>
        <w:spacing w:after="160"/>
        <w:jc w:val="both"/>
      </w:pPr>
      <w:r>
        <w:rPr>
          <w:rFonts w:ascii="Times New Roman" w:hAnsi="Times New Roman"/>
          <w:sz w:val="24"/>
          <w:szCs w:val="24"/>
        </w:rPr>
        <w:t xml:space="preserve">1.9 Filings.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identified as such on Exhibit </w:t>
      </w:r>
      <w:r>
        <w:rPr>
          <w:rFonts w:ascii="Times New Roman" w:hAnsi="Times New Roman"/>
          <w:color w:val="0645AD"/>
          <w:u w:val="single"/>
          <w:sz w:val="24"/>
          <w:szCs w:val="24"/>
        </w:rPr>
        <w:t xml:space="preserve">to be incapacitated or has appointed a guardian of the person's property, or (b) two licensed physicians have certified in writing that the person is unable to manage the person's financial affairs. </w:t>
      </w:r>
      <w:r>
        <w:rPr>
          <w:rFonts w:ascii="Times New Roman" w:hAnsi="Times New Roman"/>
          <w:sz w:val="24"/>
          <w:szCs w:val="24"/>
        </w:rPr>
        <w:t xml:space="preserve">A </w:t>
      </w:r>
      <w:r>
        <w:rPr>
          <w:rFonts w:ascii="Times New Roman" w:hAnsi="Times New Roman"/>
          <w:strike/>
          <w:color w:val="C00000"/>
          <w:sz w:val="24"/>
          <w:szCs w:val="24"/>
        </w:rPr>
        <w:t xml:space="preserve">and any successor admitted in accordance with this Agreement. </w:t>
      </w:r>
      <w:r>
        <w:rPr>
          <w:rFonts w:ascii="Times New Roman" w:hAnsi="Times New Roman"/>
          <w:color w:val="0645AD"/>
          <w:u w:val="single"/>
          <w:sz w:val="24"/>
          <w:szCs w:val="24"/>
        </w:rPr>
        <w:t xml:space="preserve">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"Series Exhibit" means, for each Protected Series, </w:t>
      </w:r>
      <w:r>
        <w:rPr>
          <w:rFonts w:ascii="Times New Roman" w:hAnsi="Times New Roman"/>
          <w:color w:val="0645AD"/>
          <w:u w:val="single"/>
          <w:sz w:val="24"/>
          <w:szCs w:val="24"/>
        </w:rPr>
        <w:t xml:space="preserve">"Protected Series Designation" means a designation of a protected series filed with </w:t>
      </w:r>
      <w:r>
        <w:rPr>
          <w:rFonts w:ascii="Times New Roman" w:hAnsi="Times New Roman"/>
          <w:sz w:val="24"/>
          <w:szCs w:val="24"/>
        </w:rPr>
        <w:t xml:space="preserve">the </w:t>
      </w:r>
      <w:r>
        <w:rPr>
          <w:rFonts w:ascii="Times New Roman" w:hAnsi="Times New Roman"/>
          <w:strike/>
          <w:color w:val="C00000"/>
          <w:sz w:val="24"/>
          <w:szCs w:val="24"/>
        </w:rPr>
        <w:t xml:space="preserve">exhibit </w:t>
      </w:r>
      <w:r>
        <w:rPr>
          <w:rFonts w:ascii="Times New Roman" w:hAnsi="Times New Roman"/>
          <w:color w:val="0645AD"/>
          <w:u w:val="single"/>
          <w:sz w:val="24"/>
          <w:szCs w:val="24"/>
        </w:rPr>
        <w:t xml:space="preserve">Department under s. 605.2201, Florida Statutes, as amended from time </w:t>
      </w:r>
      <w:r>
        <w:rPr>
          <w:rFonts w:ascii="Times New Roman" w:hAnsi="Times New Roman"/>
          <w:sz w:val="24"/>
          <w:szCs w:val="24"/>
        </w:rPr>
        <w:t xml:space="preserve">to </w:t>
      </w:r>
      <w:r>
        <w:rPr>
          <w:rFonts w:ascii="Times New Roman" w:hAnsi="Times New Roman"/>
          <w:strike/>
          <w:color w:val="C00000"/>
          <w:sz w:val="24"/>
          <w:szCs w:val="24"/>
        </w:rPr>
        <w:t xml:space="preserve">this Agreement (each numbered PS-1, PS-2, and so on) setting forth the terms specific to that Protected Series. Each Series Exhibit is a part of this Agreement. </w:t>
      </w:r>
      <w:r>
        <w:rPr>
          <w:rFonts w:ascii="Times New Roman" w:hAnsi="Times New Roman"/>
          <w:color w:val="0645AD"/>
          <w:u w:val="single"/>
          <w:sz w:val="24"/>
          <w:szCs w:val="24"/>
        </w:rPr>
        <w:t xml:space="preserve">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2.14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Member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Other Activities. The Member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4.5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4.6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keepLines/>
        <w:widowControl/>
        <w:spacing w:after="160"/>
        <w:jc w:val="both"/>
      </w:pPr>
      <w:r>
        <w:rPr>
          <w:rFonts w:ascii="Times New Roman" w:hAnsi="Times New Roman"/>
          <w:sz w:val="24"/>
          <w:szCs w:val="24"/>
        </w:rPr>
        <w:t xml:space="preserve">5.3 Authority to Act.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keepLines/>
        <w:widowControl/>
        <w:spacing w:after="160"/>
        <w:jc w:val="both"/>
      </w:pPr>
      <w:r>
        <w:rPr>
          <w:rFonts w:ascii="Times New Roman" w:hAnsi="Times New Roman"/>
          <w:sz w:val="24"/>
          <w:szCs w:val="24"/>
        </w:rPr>
        <w:t xml:space="preserve">5.4 Standard of Conduct; Exculpation.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5.5 Indemnification.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5.6 Reimbursement; Shared Expenses.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keepLines/>
        <w:widowControl/>
        <w:spacing w:after="160"/>
        <w:jc w:val="both"/>
      </w:pPr>
      <w:r>
        <w:rPr>
          <w:rFonts w:ascii="Times New Roman" w:hAnsi="Times New Roman"/>
          <w:sz w:val="24"/>
          <w:szCs w:val="24"/>
        </w:rPr>
        <w:t xml:space="preserve">5.7 Statement of Authority.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Member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Member shall maintain, for the Company and for each Protected Series, the records described in this Article.</w:t>
      </w:r>
    </w:p>
    <w:p>
      <w:pPr>
        <w:keepLines/>
        <w:widowControl/>
        <w:spacing w:after="160"/>
        <w:jc w:val="both"/>
      </w:pPr>
      <w:r>
        <w:rPr>
          <w:rFonts w:ascii="Times New Roman" w:hAnsi="Times New Roman"/>
          <w:sz w:val="24"/>
          <w:szCs w:val="24"/>
        </w:rPr>
        <w:t xml:space="preserve">8.2 Asset Association Records. The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be disregarded as an entity separate from </w:t>
      </w:r>
      <w:r>
        <w:rPr>
          <w:rFonts w:ascii="Times New Roman" w:hAnsi="Times New Roman"/>
          <w:color w:val="0645AD"/>
          <w:u w:val="single"/>
          <w:sz w:val="24"/>
          <w:szCs w:val="24"/>
        </w:rPr>
        <w:t xml:space="preserve">election remain continuously in effect. The Member shall execute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consents and other instruments (including IRS Form 2553) necessary or appropriate to make and maintain the election.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w:t>
      </w:r>
      <w:r>
        <w:rPr>
          <w:rFonts w:ascii="Times New Roman" w:hAnsi="Times New Roman"/>
          <w:sz w:val="24"/>
          <w:szCs w:val="24"/>
        </w:rPr>
        <w:t xml:space="preserve">The Member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and may make any tax election the Member determines to be in the Member's best interests, consistent with Section 9.1. </w:t>
      </w:r>
      <w:r>
        <w:rPr>
          <w:rFonts w:ascii="Times New Roman" w:hAnsi="Times New Roman"/>
          <w:color w:val="0645AD"/>
          <w:u w:val="single"/>
          <w:sz w:val="24"/>
          <w:szCs w:val="24"/>
        </w:rPr>
        <w:t xml:space="preserve">required.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Member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Member may make, change, or revoke any other tax election for the Company or any Protected Series that is consistent with maintaining the S corporation election.</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Member.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and the Member's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has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Member, as protected-series manager (ss. 605.2304(1)-(2), 605.2107(1)(n), Fla. Stat.)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(Member-Managed,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ss. 605.2103, 605.2107, 605.2201, 605.2202, 605.2301, 605.2303, 605.2304, 605.2401, 605.2501, 605.2604, 605.0302, 605.04074, 48.062, 711.50–711.512, Fla. Stat. </w:t>
      </w:r>
      <w:r>
        <w:rPr>
          <w:rFonts w:ascii="Times New Roman" w:hAnsi="Times New Roman"/>
          <w:color w:val="0645AD"/>
          <w:u w:val="single"/>
          <w:sz w:val="24"/>
          <w:szCs w:val="24"/>
        </w:rPr>
        <w:t xml:space="preserve">Code references: sections 1361, 1362, 1378.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