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templates-oa-single-s.md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144 paragraphs identical · 28 changed · 0 only in the first · 16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Single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"Member")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 is the sole member of the Company, </w:t>
      </w:r>
      <w:r>
        <w:rPr>
          <w:rFonts w:ascii="Times New Roman" w:hAnsi="Times New Roman"/>
          <w:color w:val="0645AD"/>
          <w:u w:val="single"/>
          <w:sz w:val="24"/>
          <w:szCs w:val="24"/>
        </w:rPr>
        <w:t xml:space="preserve">Company has elected, or intends to elect, to be classified as an association taxable as a corporation </w:t>
      </w:r>
      <w:r>
        <w:rPr>
          <w:rFonts w:ascii="Times New Roman" w:hAnsi="Times New Roman"/>
          <w:sz w:val="24"/>
          <w:szCs w:val="24"/>
        </w:rPr>
        <w:t xml:space="preserve">and </w:t>
      </w:r>
      <w:r>
        <w:rPr>
          <w:rFonts w:ascii="Times New Roman" w:hAnsi="Times New Roman"/>
          <w:strike/>
          <w:color w:val="C00000"/>
          <w:sz w:val="24"/>
          <w:szCs w:val="24"/>
        </w:rPr>
        <w:t xml:space="preserve">intends by this Agreement </w:t>
      </w:r>
      <w:r>
        <w:rPr>
          <w:rFonts w:ascii="Times New Roman" w:hAnsi="Times New Roman"/>
          <w:sz w:val="24"/>
          <w:szCs w:val="24"/>
        </w:rPr>
        <w:t xml:space="preserve">to </w:t>
      </w:r>
      <w:r>
        <w:rPr>
          <w:rFonts w:ascii="Times New Roman" w:hAnsi="Times New Roman"/>
          <w:strike/>
          <w:color w:val="C00000"/>
          <w:sz w:val="24"/>
          <w:szCs w:val="24"/>
        </w:rPr>
        <w:t xml:space="preserve">set forth the terms governing the Company, each Protected Series designated by the Company, and the relations among the Company, each Protected Series, the Member, and the Manager. </w:t>
      </w:r>
      <w:r>
        <w:rPr>
          <w:rFonts w:ascii="Times New Roman" w:hAnsi="Times New Roman"/>
          <w:color w:val="0645AD"/>
          <w:u w:val="single"/>
          <w:sz w:val="24"/>
          <w:szCs w:val="24"/>
        </w:rPr>
        <w:t xml:space="preserve">be treated as an S corporation for federal income tax purposes. </w:t>
      </w:r>
    </w:p>
    <w:p>
      <w:pPr>
        <w:keepLines/>
        <w:widowControl/>
        <w:spacing w:after="160"/>
        <w:jc w:val="both"/>
      </w:pPr>
      <w:r>
        <w:rPr>
          <w:rFonts w:ascii="Times New Roman" w:hAnsi="Times New Roman"/>
          <w:color w:val="0645AD"/>
          <w:u w:val="single"/>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"Code" </w:t>
      </w:r>
      <w:r>
        <w:rPr>
          <w:rFonts w:ascii="Times New Roman" w:hAnsi="Times New Roman"/>
          <w:sz w:val="24"/>
          <w:szCs w:val="24"/>
        </w:rPr>
        <w:t xml:space="preserve">means </w:t>
      </w:r>
      <w:r>
        <w:rPr>
          <w:rFonts w:ascii="Times New Roman" w:hAnsi="Times New Roman"/>
          <w:strike/>
          <w:color w:val="C00000"/>
          <w:sz w:val="24"/>
          <w:szCs w:val="24"/>
        </w:rPr>
        <w:t xml:space="preserve">[COMPANY NAME], LLC. </w:t>
      </w:r>
      <w:r>
        <w:rPr>
          <w:rFonts w:ascii="Times New Roman" w:hAnsi="Times New Roman"/>
          <w:color w:val="0645AD"/>
          <w:u w:val="single"/>
          <w:sz w:val="24"/>
          <w:szCs w:val="24"/>
        </w:rPr>
        <w:t xml:space="preserve">the Internal Revenue Code of 1986, as amended, and the Treasury Regulations promulgated under it.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w:t>
      </w:r>
      <w:r>
        <w:rPr>
          <w:rFonts w:ascii="Times New Roman" w:hAnsi="Times New Roman"/>
          <w:color w:val="0645AD"/>
          <w:u w:val="single"/>
          <w:sz w:val="24"/>
          <w:szCs w:val="24"/>
        </w:rPr>
        <w:t xml:space="preserve">"Company" </w:t>
      </w:r>
      <w:r>
        <w:rPr>
          <w:rFonts w:ascii="Times New Roman" w:hAnsi="Times New Roman"/>
          <w:sz w:val="24"/>
          <w:szCs w:val="24"/>
        </w:rPr>
        <w:t xml:space="preserve">means </w:t>
      </w:r>
      <w:r>
        <w:rPr>
          <w:rFonts w:ascii="Times New Roman" w:hAnsi="Times New Roman"/>
          <w:strike/>
          <w:color w:val="C00000"/>
          <w:sz w:val="24"/>
          <w:szCs w:val="24"/>
        </w:rPr>
        <w:t xml:space="preserve">(a)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means, as to </w:t>
      </w:r>
      <w:r>
        <w:rPr>
          <w:rFonts w:ascii="Times New Roman" w:hAnsi="Times New Roman"/>
          <w:color w:val="0645AD"/>
          <w:u w:val="single"/>
          <w:sz w:val="24"/>
          <w:szCs w:val="24"/>
        </w:rPr>
        <w:t xml:space="preserve">"Immediate Family Member" means (a) </w:t>
      </w:r>
      <w:r>
        <w:rPr>
          <w:rFonts w:ascii="Times New Roman" w:hAnsi="Times New Roman"/>
          <w:sz w:val="24"/>
          <w:szCs w:val="24"/>
        </w:rPr>
        <w:t xml:space="preserve">any </w:t>
      </w:r>
      <w:r>
        <w:rPr>
          <w:rFonts w:ascii="Times New Roman" w:hAnsi="Times New Roman"/>
          <w:strike/>
          <w:color w:val="C00000"/>
          <w:sz w:val="24"/>
          <w:szCs w:val="24"/>
        </w:rPr>
        <w:t xml:space="preserve">person, that (a) a court of competent jurisdiction has determined the person to be incapacitated or has appointed a guardian </w:t>
      </w:r>
      <w:r>
        <w:rPr>
          <w:rFonts w:ascii="Times New Roman" w:hAnsi="Times New Roman"/>
          <w:color w:val="0645AD"/>
          <w:u w:val="single"/>
          <w:sz w:val="24"/>
          <w:szCs w:val="24"/>
        </w:rPr>
        <w:t xml:space="preserve">ancestor </w:t>
      </w:r>
      <w:r>
        <w:rPr>
          <w:rFonts w:ascii="Times New Roman" w:hAnsi="Times New Roman"/>
          <w:sz w:val="24"/>
          <w:szCs w:val="24"/>
        </w:rPr>
        <w:t xml:space="preserve">of the </w:t>
      </w:r>
      <w:r>
        <w:rPr>
          <w:rFonts w:ascii="Times New Roman" w:hAnsi="Times New Roman"/>
          <w:strike/>
          <w:color w:val="C00000"/>
          <w:sz w:val="24"/>
          <w:szCs w:val="24"/>
        </w:rPr>
        <w:t xml:space="preserve">person's property, </w:t>
      </w:r>
      <w:r>
        <w:rPr>
          <w:rFonts w:ascii="Times New Roman" w:hAnsi="Times New Roman"/>
          <w:color w:val="0645AD"/>
          <w:u w:val="single"/>
          <w:sz w:val="24"/>
          <w:szCs w:val="24"/>
        </w:rPr>
        <w:t xml:space="preserve">Member or descendant of a grandparent of the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means </w:t>
      </w:r>
      <w:r>
        <w:rPr>
          <w:rFonts w:ascii="Times New Roman" w:hAnsi="Times New Roman"/>
          <w:color w:val="0645AD"/>
          <w:u w:val="single"/>
          <w:sz w:val="24"/>
          <w:szCs w:val="24"/>
        </w:rPr>
        <w:t xml:space="preserve">"Incapacitated" means, as to any person, that (a) a court of competent jurisdiction has determined </w:t>
      </w:r>
      <w:r>
        <w:rPr>
          <w:rFonts w:ascii="Times New Roman" w:hAnsi="Times New Roman"/>
          <w:sz w:val="24"/>
          <w:szCs w:val="24"/>
        </w:rPr>
        <w:t xml:space="preserve">the person </w:t>
      </w:r>
      <w:r>
        <w:rPr>
          <w:rFonts w:ascii="Times New Roman" w:hAnsi="Times New Roman"/>
          <w:strike/>
          <w:color w:val="C00000"/>
          <w:sz w:val="24"/>
          <w:szCs w:val="24"/>
        </w:rPr>
        <w:t xml:space="preserve">named </w:t>
      </w:r>
      <w:r>
        <w:rPr>
          <w:rFonts w:ascii="Times New Roman" w:hAnsi="Times New Roman"/>
          <w:color w:val="0645AD"/>
          <w:u w:val="single"/>
          <w:sz w:val="24"/>
          <w:szCs w:val="24"/>
        </w:rPr>
        <w:t xml:space="preserve">to be incapacitated or has appointed a guardian of the person's property, or (b) two licensed physicians have certified </w:t>
      </w:r>
      <w:r>
        <w:rPr>
          <w:rFonts w:ascii="Times New Roman" w:hAnsi="Times New Roman"/>
          <w:sz w:val="24"/>
          <w:szCs w:val="24"/>
        </w:rPr>
        <w:t xml:space="preserve">in </w:t>
      </w:r>
      <w:r>
        <w:rPr>
          <w:rFonts w:ascii="Times New Roman" w:hAnsi="Times New Roman"/>
          <w:strike/>
          <w:color w:val="C00000"/>
          <w:sz w:val="24"/>
          <w:szCs w:val="24"/>
        </w:rPr>
        <w:t xml:space="preserve">Section 5.1 and any successor designated under this Agreement. </w:t>
      </w:r>
      <w:r>
        <w:rPr>
          <w:rFonts w:ascii="Times New Roman" w:hAnsi="Times New Roman"/>
          <w:color w:val="0645AD"/>
          <w:u w:val="single"/>
          <w:sz w:val="24"/>
          <w:szCs w:val="24"/>
        </w:rPr>
        <w:t xml:space="preserve">writing that the person is unable to manage the person's financial affairs. A person ceases to be Incapacitated upon a court order restoring capacity or a written certification by two licensed physicians that the person is again able to 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"Manager" </w:t>
      </w:r>
      <w:r>
        <w:rPr>
          <w:rFonts w:ascii="Times New Roman" w:hAnsi="Times New Roman"/>
          <w:sz w:val="24"/>
          <w:szCs w:val="24"/>
        </w:rPr>
        <w:t xml:space="preserve">means the person </w:t>
      </w:r>
      <w:r>
        <w:rPr>
          <w:rFonts w:ascii="Times New Roman" w:hAnsi="Times New Roman"/>
          <w:strike/>
          <w:color w:val="C00000"/>
          <w:sz w:val="24"/>
          <w:szCs w:val="24"/>
        </w:rPr>
        <w:t xml:space="preserve">identified as such on Exhibit A </w:t>
      </w:r>
      <w:r>
        <w:rPr>
          <w:rFonts w:ascii="Times New Roman" w:hAnsi="Times New Roman"/>
          <w:color w:val="0645AD"/>
          <w:u w:val="single"/>
          <w:sz w:val="24"/>
          <w:szCs w:val="24"/>
        </w:rPr>
        <w:t xml:space="preserve">named in Section 5.1 </w:t>
      </w:r>
      <w:r>
        <w:rPr>
          <w:rFonts w:ascii="Times New Roman" w:hAnsi="Times New Roman"/>
          <w:sz w:val="24"/>
          <w:szCs w:val="24"/>
        </w:rPr>
        <w:t xml:space="preserve">and any successor </w:t>
      </w:r>
      <w:r>
        <w:rPr>
          <w:rFonts w:ascii="Times New Roman" w:hAnsi="Times New Roman"/>
          <w:strike/>
          <w:color w:val="C00000"/>
          <w:sz w:val="24"/>
          <w:szCs w:val="24"/>
        </w:rPr>
        <w:t xml:space="preserve">admitted in accordance with </w:t>
      </w:r>
      <w:r>
        <w:rPr>
          <w:rFonts w:ascii="Times New Roman" w:hAnsi="Times New Roman"/>
          <w:color w:val="0645AD"/>
          <w:u w:val="single"/>
          <w:sz w:val="24"/>
          <w:szCs w:val="24"/>
        </w:rPr>
        <w:t xml:space="preserve">designated under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"Member" </w:t>
      </w:r>
      <w:r>
        <w:rPr>
          <w:rFonts w:ascii="Times New Roman" w:hAnsi="Times New Roman"/>
          <w:sz w:val="24"/>
          <w:szCs w:val="24"/>
        </w:rPr>
        <w:t xml:space="preserve">means the </w:t>
      </w:r>
      <w:r>
        <w:rPr>
          <w:rFonts w:ascii="Times New Roman" w:hAnsi="Times New Roman"/>
          <w:strike/>
          <w:color w:val="C00000"/>
          <w:sz w:val="24"/>
          <w:szCs w:val="24"/>
        </w:rPr>
        <w:t xml:space="preserve">Member's entire interest </w:t>
      </w:r>
      <w:r>
        <w:rPr>
          <w:rFonts w:ascii="Times New Roman" w:hAnsi="Times New Roman"/>
          <w:color w:val="0645AD"/>
          <w:u w:val="single"/>
          <w:sz w:val="24"/>
          <w:szCs w:val="24"/>
        </w:rPr>
        <w:t xml:space="preserve">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the Company, including the Member's interest in capital, profits, and distributions of the Company, and all rights of a member under the Act and </w:t>
      </w:r>
      <w:r>
        <w:rPr>
          <w:rFonts w:ascii="Times New Roman" w:hAnsi="Times New Roman"/>
          <w:color w:val="0645AD"/>
          <w:u w:val="single"/>
          <w:sz w:val="24"/>
          <w:szCs w:val="24"/>
        </w:rPr>
        <w:t xml:space="preserve">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"Protected Series" or "PS"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w:t>
      </w:r>
      <w:r>
        <w:rPr>
          <w:rFonts w:ascii="Times New Roman" w:hAnsi="Times New Roman"/>
          <w:strike/>
          <w:color w:val="C00000"/>
          <w:sz w:val="24"/>
          <w:szCs w:val="24"/>
        </w:rPr>
        <w:t xml:space="preserve">a protected series </w:t>
      </w:r>
      <w:r>
        <w:rPr>
          <w:rFonts w:ascii="Times New Roman" w:hAnsi="Times New Roman"/>
          <w:color w:val="0645AD"/>
          <w:u w:val="single"/>
          <w:sz w:val="24"/>
          <w:szCs w:val="24"/>
        </w:rPr>
        <w:t xml:space="preserve">the Member's entire interest in the Company, including the Member's interest in capital, profits, and distributions </w:t>
      </w:r>
      <w:r>
        <w:rPr>
          <w:rFonts w:ascii="Times New Roman" w:hAnsi="Times New Roman"/>
          <w:sz w:val="24"/>
          <w:szCs w:val="24"/>
        </w:rPr>
        <w:t xml:space="preserve">of 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Company, and all rights of a member </w:t>
      </w:r>
      <w:r>
        <w:rPr>
          <w:rFonts w:ascii="Times New Roman" w:hAnsi="Times New Roman"/>
          <w:sz w:val="24"/>
          <w:szCs w:val="24"/>
        </w:rPr>
        <w:t xml:space="preserve">under </w:t>
      </w:r>
      <w:r>
        <w:rPr>
          <w:rFonts w:ascii="Times New Roman" w:hAnsi="Times New Roman"/>
          <w:strike/>
          <w:color w:val="C00000"/>
          <w:sz w:val="24"/>
          <w:szCs w:val="24"/>
        </w:rPr>
        <w:t xml:space="preserve">s. 605.2201, Florida Statutes, </w:t>
      </w:r>
      <w:r>
        <w:rPr>
          <w:rFonts w:ascii="Times New Roman" w:hAnsi="Times New Roman"/>
          <w:color w:val="0645AD"/>
          <w:u w:val="single"/>
          <w:sz w:val="24"/>
          <w:szCs w:val="24"/>
        </w:rPr>
        <w:t xml:space="preserve">the Act </w:t>
      </w:r>
      <w:r>
        <w:rPr>
          <w:rFonts w:ascii="Times New Roman" w:hAnsi="Times New Roman"/>
          <w:sz w:val="24"/>
          <w:szCs w:val="24"/>
        </w:rPr>
        <w:t xml:space="preserve">and </w:t>
      </w:r>
      <w:r>
        <w:rPr>
          <w:rFonts w:ascii="Times New Roman" w:hAnsi="Times New Roman"/>
          <w:strike/>
          <w:color w:val="C00000"/>
          <w:sz w:val="24"/>
          <w:szCs w:val="24"/>
        </w:rPr>
        <w:t xml:space="preserve">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2.12 "Protected </w:t>
      </w:r>
      <w:r>
        <w:rPr>
          <w:rFonts w:ascii="Times New Roman" w:hAnsi="Times New Roman"/>
          <w:strike/>
          <w:color w:val="C00000"/>
          <w:sz w:val="24"/>
          <w:szCs w:val="24"/>
        </w:rPr>
        <w:t xml:space="preserve">Series Designation" </w:t>
      </w:r>
      <w:r>
        <w:rPr>
          <w:rFonts w:ascii="Times New Roman" w:hAnsi="Times New Roman"/>
          <w:color w:val="0645AD"/>
          <w:u w:val="single"/>
          <w:sz w:val="24"/>
          <w:szCs w:val="24"/>
        </w:rPr>
        <w:t xml:space="preserve">Series" or "PS" </w:t>
      </w:r>
      <w:r>
        <w:rPr>
          <w:rFonts w:ascii="Times New Roman" w:hAnsi="Times New Roman"/>
          <w:sz w:val="24"/>
          <w:szCs w:val="24"/>
        </w:rPr>
        <w:t xml:space="preserve">means </w:t>
      </w:r>
      <w:r>
        <w:rPr>
          <w:rFonts w:ascii="Times New Roman" w:hAnsi="Times New Roman"/>
          <w:strike/>
          <w:color w:val="C00000"/>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filed with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Department </w:t>
      </w:r>
      <w:r>
        <w:rPr>
          <w:rFonts w:ascii="Times New Roman" w:hAnsi="Times New Roman"/>
          <w:color w:val="0645AD"/>
          <w:u w:val="single"/>
          <w:sz w:val="24"/>
          <w:szCs w:val="24"/>
        </w:rPr>
        <w:t xml:space="preserve">Company established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as amended from time to time. </w:t>
      </w:r>
      <w:r>
        <w:rPr>
          <w:rFonts w:ascii="Times New Roman" w:hAnsi="Times New Roman"/>
          <w:color w:val="0645AD"/>
          <w:u w:val="single"/>
          <w:sz w:val="24"/>
          <w:szCs w:val="24"/>
        </w:rPr>
        <w:t xml:space="preserve">and identified in a Series Exhibit. </w:t>
      </w:r>
    </w:p>
    <w:p>
      <w:pPr>
        <w:keepLines/>
        <w:widowControl/>
        <w:spacing w:after="160"/>
        <w:jc w:val="both"/>
      </w:pPr>
      <w:r>
        <w:rPr>
          <w:rFonts w:ascii="Times New Roman" w:hAnsi="Times New Roman"/>
          <w:sz w:val="24"/>
          <w:szCs w:val="24"/>
        </w:rPr>
        <w:t xml:space="preserve">2.13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Designation"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w:t>
      </w:r>
      <w:r>
        <w:rPr>
          <w:rFonts w:ascii="Times New Roman" w:hAnsi="Times New Roman"/>
          <w:color w:val="0645AD"/>
          <w:u w:val="single"/>
          <w:sz w:val="24"/>
          <w:szCs w:val="24"/>
        </w:rPr>
        <w:t xml:space="preserve">a designation </w:t>
      </w:r>
      <w:r>
        <w:rPr>
          <w:rFonts w:ascii="Times New Roman" w:hAnsi="Times New Roman"/>
          <w:sz w:val="24"/>
          <w:szCs w:val="24"/>
        </w:rPr>
        <w:t xml:space="preserve">of 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Section 5.2.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"Series Exhibit" means, </w:t>
      </w:r>
      <w:r>
        <w:rPr>
          <w:rFonts w:ascii="Times New Roman" w:hAnsi="Times New Roman"/>
          <w:color w:val="0645AD"/>
          <w:u w:val="single"/>
          <w:sz w:val="24"/>
          <w:szCs w:val="24"/>
        </w:rPr>
        <w:t xml:space="preserve">"Protected Series Manager" means the person responsible </w:t>
      </w:r>
      <w:r>
        <w:rPr>
          <w:rFonts w:ascii="Times New Roman" w:hAnsi="Times New Roman"/>
          <w:sz w:val="24"/>
          <w:szCs w:val="24"/>
        </w:rPr>
        <w:t xml:space="preserve">for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management of a </w:t>
      </w:r>
      <w:r>
        <w:rPr>
          <w:rFonts w:ascii="Times New Roman" w:hAnsi="Times New Roman"/>
          <w:sz w:val="24"/>
          <w:szCs w:val="24"/>
        </w:rPr>
        <w:t xml:space="preserve">Protected </w:t>
      </w:r>
      <w:r>
        <w:rPr>
          <w:rFonts w:ascii="Times New Roman" w:hAnsi="Times New Roman"/>
          <w:strike/>
          <w:color w:val="C00000"/>
          <w:sz w:val="24"/>
          <w:szCs w:val="24"/>
        </w:rPr>
        <w:t xml:space="preserve">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Exhibit is a part of this Agreement. </w:t>
      </w:r>
      <w:r>
        <w:rPr>
          <w:rFonts w:ascii="Times New Roman" w:hAnsi="Times New Roman"/>
          <w:color w:val="0645AD"/>
          <w:u w:val="single"/>
          <w:sz w:val="24"/>
          <w:szCs w:val="24"/>
        </w:rPr>
        <w:t xml:space="preserve">under Section 5.2.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color w:val="0645AD"/>
          <w:u w:val="single"/>
          <w:sz w:val="24"/>
          <w:szCs w:val="24"/>
        </w:rPr>
        <w:t xml:space="preserve">"Series Exhibit" means, for each Protected Series, the exhibit to this Agreement (each numbered PS-1, PS-2, </w:t>
      </w:r>
      <w:r>
        <w:rPr>
          <w:rFonts w:ascii="Times New Roman" w:hAnsi="Times New Roman"/>
          <w:sz w:val="24"/>
          <w:szCs w:val="24"/>
        </w:rPr>
        <w:t xml:space="preserve">and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verb has a corresponding meaning. </w:t>
      </w:r>
      <w:r>
        <w:rPr>
          <w:rFonts w:ascii="Times New Roman" w:hAnsi="Times New Roman"/>
          <w:color w:val="0645AD"/>
          <w:u w:val="single"/>
          <w:sz w:val="24"/>
          <w:szCs w:val="24"/>
        </w:rPr>
        <w:t xml:space="preserve">part of this Agreement. </w:t>
      </w:r>
    </w:p>
    <w:p>
      <w:pPr>
        <w:keepLines/>
        <w:widowControl/>
        <w:spacing w:after="160"/>
        <w:jc w:val="both"/>
      </w:pPr>
      <w:r>
        <w:rPr>
          <w:rFonts w:ascii="Times New Roman" w:hAnsi="Times New Roman"/>
          <w:color w:val="0645AD"/>
          <w:u w:val="single"/>
          <w:sz w:val="24"/>
          <w:szCs w:val="24"/>
        </w:rPr>
        <w:t xml:space="preserve">2.16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w:t>
      </w:r>
      <w:r>
        <w:rPr>
          <w:rFonts w:ascii="Times New Roman" w:hAnsi="Times New Roman"/>
          <w:strike/>
          <w:color w:val="C00000"/>
          <w:sz w:val="24"/>
          <w:szCs w:val="24"/>
        </w:rPr>
        <w:t xml:space="preserve">Statutes) </w:t>
      </w:r>
      <w:r>
        <w:rPr>
          <w:rFonts w:ascii="Times New Roman" w:hAnsi="Times New Roman"/>
          <w:color w:val="0645AD"/>
          <w:u w:val="single"/>
          <w:sz w:val="24"/>
          <w:szCs w:val="24"/>
        </w:rPr>
        <w:t xml:space="preserve">Statutes), the provisions of Article 8, </w:t>
      </w:r>
      <w:r>
        <w:rPr>
          <w:rFonts w:ascii="Times New Roman" w:hAnsi="Times New Roman"/>
          <w:sz w:val="24"/>
          <w:szCs w:val="24"/>
        </w:rPr>
        <w:t xml:space="preserve">or the provisions of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9.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w:t>
      </w:r>
      <w:r>
        <w:rPr>
          <w:rFonts w:ascii="Times New Roman" w:hAnsi="Times New Roman"/>
          <w:strike/>
          <w:color w:val="C00000"/>
          <w:sz w:val="24"/>
          <w:szCs w:val="24"/>
        </w:rPr>
        <w:t xml:space="preserve">Membership interests are of </w:t>
      </w:r>
      <w:r>
        <w:rPr>
          <w:rFonts w:ascii="Times New Roman" w:hAnsi="Times New Roman"/>
          <w:color w:val="0645AD"/>
          <w:u w:val="single"/>
          <w:sz w:val="24"/>
          <w:szCs w:val="24"/>
        </w:rPr>
        <w:t xml:space="preserve">The Company has </w:t>
      </w:r>
      <w:r>
        <w:rPr>
          <w:rFonts w:ascii="Times New Roman" w:hAnsi="Times New Roman"/>
          <w:sz w:val="24"/>
          <w:szCs w:val="24"/>
        </w:rPr>
        <w:t xml:space="preserve">a single class </w:t>
      </w:r>
      <w:r>
        <w:rPr>
          <w:rFonts w:ascii="Times New Roman" w:hAnsi="Times New Roman"/>
          <w:strike/>
          <w:color w:val="C00000"/>
          <w:sz w:val="24"/>
          <w:szCs w:val="24"/>
        </w:rPr>
        <w:t xml:space="preserve">and are expressed as percentages; </w:t>
      </w:r>
      <w:r>
        <w:rPr>
          <w:rFonts w:ascii="Times New Roman" w:hAnsi="Times New Roman"/>
          <w:color w:val="0645AD"/>
          <w:u w:val="single"/>
          <w:sz w:val="24"/>
          <w:szCs w:val="24"/>
        </w:rPr>
        <w:t xml:space="preserve">of ownership; </w:t>
      </w:r>
      <w:r>
        <w:rPr>
          <w:rFonts w:ascii="Times New Roman" w:hAnsi="Times New Roman"/>
          <w:sz w:val="24"/>
          <w:szCs w:val="24"/>
        </w:rPr>
        <w:t xml:space="preserve">no certificates shall be issued unless the Manager 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No Agency by Status. The Member is not an agent of the Company or of any Protected Series solely by reason of being a member.</w:t>
      </w:r>
    </w:p>
    <w:p>
      <w:pPr>
        <w:keepLines/>
        <w:widowControl/>
        <w:spacing w:after="160"/>
        <w:jc w:val="both"/>
      </w:pPr>
      <w:r>
        <w:rPr>
          <w:rFonts w:ascii="Times New Roman" w:hAnsi="Times New Roman"/>
          <w:sz w:val="24"/>
          <w:szCs w:val="24"/>
        </w:rPr>
        <w:t xml:space="preserve">4.5 Other Activities.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sz w:val="24"/>
          <w:szCs w:val="24"/>
        </w:rPr>
        <w:t xml:space="preserve">4.6 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Subject to Section 9.3(b), the </w:t>
      </w:r>
      <w:r>
        <w:rPr>
          <w:rFonts w:ascii="Times New Roman" w:hAnsi="Times New Roman"/>
          <w:sz w:val="24"/>
          <w:szCs w:val="24"/>
        </w:rPr>
        <w:t xml:space="preserve">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 </w:t>
      </w:r>
    </w:p>
    <w:p>
      <w:pPr>
        <w:keepLines/>
        <w:widowControl/>
        <w:spacing w:after="160"/>
        <w:jc w:val="both"/>
      </w:pPr>
      <w:r>
        <w:rPr>
          <w:rFonts w:ascii="Times New Roman" w:hAnsi="Times New Roman"/>
          <w:sz w:val="24"/>
          <w:szCs w:val="24"/>
        </w:rPr>
        <w:t xml:space="preserve">4.7 Incapacity of the Member.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w:t>
      </w:r>
      <w:r>
        <w:rPr>
          <w:rFonts w:ascii="Times New Roman" w:hAnsi="Times New Roman"/>
          <w:strike/>
          <w:color w:val="C00000"/>
          <w:sz w:val="24"/>
          <w:szCs w:val="24"/>
        </w:rPr>
        <w:t xml:space="preserve">or </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w:t>
      </w:r>
      <w:r>
        <w:rPr>
          <w:rFonts w:ascii="Times New Roman" w:hAnsi="Times New Roman"/>
          <w:strike/>
          <w:color w:val="C00000"/>
          <w:sz w:val="24"/>
          <w:szCs w:val="24"/>
        </w:rPr>
        <w:t xml:space="preserve">one. </w:t>
      </w:r>
      <w:r>
        <w:rPr>
          <w:rFonts w:ascii="Times New Roman" w:hAnsi="Times New Roman"/>
          <w:color w:val="0645AD"/>
          <w:u w:val="single"/>
          <w:sz w:val="24"/>
          <w:szCs w:val="24"/>
        </w:rPr>
        <w:t xml:space="preserve">one; or </w:t>
      </w:r>
    </w:p>
    <w:p>
      <w:pPr>
        <w:keepLines/>
        <w:widowControl/>
        <w:spacing w:after="160"/>
        <w:jc w:val="both"/>
      </w:pPr>
      <w:r>
        <w:rPr>
          <w:rFonts w:ascii="Times New Roman" w:hAnsi="Times New Roman"/>
          <w:color w:val="0645AD"/>
          <w:u w:val="single"/>
          <w:sz w:val="24"/>
          <w:szCs w:val="24"/>
        </w:rPr>
        <w:t xml:space="preserve">(d) make, change, or revoke any election under the Code affecting the classification of the Company or of any Protected Series, or take any action described in Section 9.3.</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w:t>
      </w:r>
      <w:r>
        <w:rPr>
          <w:rFonts w:ascii="Times New Roman" w:hAnsi="Times New Roman"/>
          <w:color w:val="0645AD"/>
          <w:u w:val="single"/>
          <w:sz w:val="24"/>
          <w:szCs w:val="24"/>
        </w:rPr>
        <w:t xml:space="preserve">A loan made under this Section shall be documented as indebtedness and does not create a second class of ownership. </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The records of the Company that the Member may inspect include the records maintained under this Article for every Protected Series.</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The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disregarded as an entity separate from </w:t>
      </w:r>
      <w:r>
        <w:rPr>
          <w:rFonts w:ascii="Times New Roman" w:hAnsi="Times New Roman"/>
          <w:color w:val="0645AD"/>
          <w:u w:val="single"/>
          <w:sz w:val="24"/>
          <w:szCs w:val="24"/>
        </w:rPr>
        <w:t xml:space="preserve">revoked without </w:t>
      </w:r>
      <w:r>
        <w:rPr>
          <w:rFonts w:ascii="Times New Roman" w:hAnsi="Times New Roman"/>
          <w:sz w:val="24"/>
          <w:szCs w:val="24"/>
        </w:rPr>
        <w:t xml:space="preserve">the </w:t>
      </w:r>
      <w:r>
        <w:rPr>
          <w:rFonts w:ascii="Times New Roman" w:hAnsi="Times New Roman"/>
          <w:strike/>
          <w:color w:val="C00000"/>
          <w:sz w:val="24"/>
          <w:szCs w:val="24"/>
        </w:rPr>
        <w:t xml:space="preserve">Member for federal income tax purposes. </w:t>
      </w:r>
      <w:r>
        <w:rPr>
          <w:rFonts w:ascii="Times New Roman" w:hAnsi="Times New Roman"/>
          <w:color w:val="0645AD"/>
          <w:u w:val="single"/>
          <w:sz w:val="24"/>
          <w:szCs w:val="24"/>
        </w:rPr>
        <w:t xml:space="preserve">Member's written consent.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Accordingly, all </w:t>
      </w:r>
      <w:r>
        <w:rPr>
          <w:rFonts w:ascii="Times New Roman" w:hAnsi="Times New Roman"/>
          <w:color w:val="0645AD"/>
          <w:u w:val="single"/>
          <w:sz w:val="24"/>
          <w:szCs w:val="24"/>
        </w:rPr>
        <w:t xml:space="preserve">owner, so that its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of the Company and of each Protected Series </w:t>
      </w:r>
      <w:r>
        <w:rPr>
          <w:rFonts w:ascii="Times New Roman" w:hAnsi="Times New Roman"/>
          <w:sz w:val="24"/>
          <w:szCs w:val="24"/>
        </w:rPr>
        <w:t xml:space="preserve">are reported </w:t>
      </w:r>
      <w:r>
        <w:rPr>
          <w:rFonts w:ascii="Times New Roman" w:hAnsi="Times New Roman"/>
          <w:strike/>
          <w:color w:val="C00000"/>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Filings and Elections. </w:t>
      </w:r>
      <w:r>
        <w:rPr>
          <w:rFonts w:ascii="Times New Roman" w:hAnsi="Times New Roman"/>
          <w:color w:val="0645AD"/>
          <w:u w:val="single"/>
          <w:sz w:val="24"/>
          <w:szCs w:val="24"/>
        </w:rPr>
        <w:t xml:space="preserve">Returns; Information. </w:t>
      </w:r>
      <w:r>
        <w:rPr>
          <w:rFonts w:ascii="Times New Roman" w:hAnsi="Times New Roman"/>
          <w:sz w:val="24"/>
          <w:szCs w:val="24"/>
        </w:rPr>
        <w:t xml:space="preserve">The Manager shall </w:t>
      </w:r>
      <w:r>
        <w:rPr>
          <w:rFonts w:ascii="Times New Roman" w:hAnsi="Times New Roman"/>
          <w:strike/>
          <w:color w:val="C00000"/>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made, </w:t>
      </w:r>
      <w:r>
        <w:rPr>
          <w:rFonts w:ascii="Times New Roman" w:hAnsi="Times New Roman"/>
          <w:color w:val="0645AD"/>
          <w:u w:val="single"/>
          <w:sz w:val="24"/>
          <w:szCs w:val="24"/>
        </w:rPr>
        <w:t xml:space="preserve">prepared and filed </w:t>
      </w:r>
      <w:r>
        <w:rPr>
          <w:rFonts w:ascii="Times New Roman" w:hAnsi="Times New Roman"/>
          <w:sz w:val="24"/>
          <w:szCs w:val="24"/>
        </w:rPr>
        <w:t xml:space="preserve">all tax </w:t>
      </w:r>
      <w:r>
        <w:rPr>
          <w:rFonts w:ascii="Times New Roman" w:hAnsi="Times New Roman"/>
          <w:strike/>
          <w:color w:val="C00000"/>
          <w:sz w:val="24"/>
          <w:szCs w:val="24"/>
        </w:rPr>
        <w:t xml:space="preserve">filings </w:t>
      </w:r>
      <w:r>
        <w:rPr>
          <w:rFonts w:ascii="Times New Roman" w:hAnsi="Times New Roman"/>
          <w:color w:val="0645AD"/>
          <w:u w:val="single"/>
          <w:sz w:val="24"/>
          <w:szCs w:val="24"/>
        </w:rPr>
        <w:t xml:space="preserve">returns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(including Form 1120-S) and of each Protected Series, if necessary </w:t>
      </w:r>
      <w:r>
        <w:rPr>
          <w:rFonts w:ascii="Times New Roman" w:hAnsi="Times New Roman"/>
          <w:sz w:val="24"/>
          <w:szCs w:val="24"/>
        </w:rPr>
        <w:t xml:space="preserve">or </w:t>
      </w:r>
      <w:r>
        <w:rPr>
          <w:rFonts w:ascii="Times New Roman" w:hAnsi="Times New Roman"/>
          <w:strike/>
          <w:color w:val="C00000"/>
          <w:sz w:val="24"/>
          <w:szCs w:val="24"/>
        </w:rPr>
        <w:t xml:space="preserve">of any Protected Series </w:t>
      </w:r>
      <w:r>
        <w:rPr>
          <w:rFonts w:ascii="Times New Roman" w:hAnsi="Times New Roman"/>
          <w:color w:val="0645AD"/>
          <w:u w:val="single"/>
          <w:sz w:val="24"/>
          <w:szCs w:val="24"/>
        </w:rPr>
        <w:t xml:space="preserve">required, </w:t>
      </w:r>
      <w:r>
        <w:rPr>
          <w:rFonts w:ascii="Times New Roman" w:hAnsi="Times New Roman"/>
          <w:sz w:val="24"/>
          <w:szCs w:val="24"/>
        </w:rPr>
        <w:t xml:space="preserve">and </w:t>
      </w:r>
      <w:r>
        <w:rPr>
          <w:rFonts w:ascii="Times New Roman" w:hAnsi="Times New Roman"/>
          <w:strike/>
          <w:color w:val="C00000"/>
          <w:sz w:val="24"/>
          <w:szCs w:val="24"/>
        </w:rPr>
        <w:t xml:space="preserve">may make any tax election the Manager determines </w:t>
      </w:r>
      <w:r>
        <w:rPr>
          <w:rFonts w:ascii="Times New Roman" w:hAnsi="Times New Roman"/>
          <w:color w:val="0645AD"/>
          <w:u w:val="single"/>
          <w:sz w:val="24"/>
          <w:szCs w:val="24"/>
        </w:rPr>
        <w:t xml:space="preserve">shall deliver </w:t>
      </w:r>
      <w:r>
        <w:rPr>
          <w:rFonts w:ascii="Times New Roman" w:hAnsi="Times New Roman"/>
          <w:sz w:val="24"/>
          <w:szCs w:val="24"/>
        </w:rPr>
        <w:t xml:space="preserve">to </w:t>
      </w:r>
      <w:r>
        <w:rPr>
          <w:rFonts w:ascii="Times New Roman" w:hAnsi="Times New Roman"/>
          <w:strike/>
          <w:color w:val="C00000"/>
          <w:sz w:val="24"/>
          <w:szCs w:val="24"/>
        </w:rPr>
        <w:t xml:space="preserve">be in the best interests of </w:t>
      </w:r>
      <w:r>
        <w:rPr>
          <w:rFonts w:ascii="Times New Roman" w:hAnsi="Times New Roman"/>
          <w:sz w:val="24"/>
          <w:szCs w:val="24"/>
        </w:rPr>
        <w:t xml:space="preserve">the Member, </w:t>
      </w:r>
      <w:r>
        <w:rPr>
          <w:rFonts w:ascii="Times New Roman" w:hAnsi="Times New Roman"/>
          <w:strike/>
          <w:color w:val="C00000"/>
          <w:sz w:val="24"/>
          <w:szCs w:val="24"/>
        </w:rPr>
        <w:t xml:space="preserve">consistent with Section 9.1. </w:t>
      </w:r>
      <w:r>
        <w:rPr>
          <w:rFonts w:ascii="Times New Roman" w:hAnsi="Times New Roman"/>
          <w:color w:val="0645AD"/>
          <w:u w:val="single"/>
          <w:sz w:val="24"/>
          <w:szCs w:val="24"/>
        </w:rPr>
        <w:t xml:space="preserve">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Fiscal Year. The fiscal year of </w:t>
      </w:r>
      <w:r>
        <w:rPr>
          <w:rFonts w:ascii="Times New Roman" w:hAnsi="Times New Roman"/>
          <w:color w:val="0645AD"/>
          <w:u w:val="single"/>
          <w:sz w:val="24"/>
          <w:szCs w:val="24"/>
        </w:rPr>
        <w:t xml:space="preserve">Protecting </w:t>
      </w:r>
      <w:r>
        <w:rPr>
          <w:rFonts w:ascii="Times New Roman" w:hAnsi="Times New Roman"/>
          <w:sz w:val="24"/>
          <w:szCs w:val="24"/>
        </w:rPr>
        <w:t xml:space="preserve">the </w:t>
      </w:r>
      <w:r>
        <w:rPr>
          <w:rFonts w:ascii="Times New Roman" w:hAnsi="Times New Roman"/>
          <w:strike/>
          <w:color w:val="C00000"/>
          <w:sz w:val="24"/>
          <w:szCs w:val="24"/>
        </w:rPr>
        <w:t xml:space="preserve">Company and of each Protected Series </w:t>
      </w:r>
      <w:r>
        <w:rPr>
          <w:rFonts w:ascii="Times New Roman" w:hAnsi="Times New Roman"/>
          <w:color w:val="0645AD"/>
          <w:u w:val="single"/>
          <w:sz w:val="24"/>
          <w:szCs w:val="24"/>
        </w:rPr>
        <w:t xml:space="preserve">Election. While the S corporation election </w:t>
      </w:r>
      <w:r>
        <w:rPr>
          <w:rFonts w:ascii="Times New Roman" w:hAnsi="Times New Roman"/>
          <w:sz w:val="24"/>
          <w:szCs w:val="24"/>
        </w:rPr>
        <w:t xml:space="preserve">is </w:t>
      </w:r>
      <w:r>
        <w:rPr>
          <w:rFonts w:ascii="Times New Roman" w:hAnsi="Times New Roman"/>
          <w:strike/>
          <w:color w:val="C00000"/>
          <w:sz w:val="24"/>
          <w:szCs w:val="24"/>
        </w:rPr>
        <w:t xml:space="preserve">the calendar year unless the Manager selects another permitted year. </w:t>
      </w:r>
      <w:r>
        <w:rPr>
          <w:rFonts w:ascii="Times New Roman" w:hAnsi="Times New Roman"/>
          <w:color w:val="0645AD"/>
          <w:u w:val="single"/>
          <w:sz w:val="24"/>
          <w:szCs w:val="24"/>
        </w:rPr>
        <w:t xml:space="preserve">in effect: </w:t>
      </w:r>
    </w:p>
    <w:p>
      <w:pPr>
        <w:keepLines/>
        <w:widowControl/>
        <w:spacing w:after="160"/>
        <w:jc w:val="both"/>
      </w:pPr>
      <w:r>
        <w:rPr>
          <w:rFonts w:ascii="Times New Roman" w:hAnsi="Times New Roman"/>
          <w:color w:val="0645AD"/>
          <w:u w:val="single"/>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(c) no additional member may be admitted except as Section 10.1 permits; and</w:t>
      </w:r>
    </w:p>
    <w:p>
      <w:pPr>
        <w:keepLines/>
        <w:widowControl/>
        <w:spacing w:after="160"/>
        <w:jc w:val="both"/>
      </w:pPr>
      <w:r>
        <w:rPr>
          <w:rFonts w:ascii="Times New Roman" w:hAnsi="Times New Roman"/>
          <w:color w:val="0645AD"/>
          <w:u w:val="single"/>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9.4 Intent; Savings Clause.</w:t>
      </w:r>
    </w:p>
    <w:p>
      <w:pPr>
        <w:keepLines/>
        <w:widowControl/>
        <w:spacing w:after="160"/>
        <w:jc w:val="both"/>
      </w:pPr>
      <w:r>
        <w:rPr>
          <w:rFonts w:ascii="Times New Roman" w:hAnsi="Times New Roman"/>
          <w:color w:val="0645AD"/>
          <w:u w:val="single"/>
          <w:sz w:val="24"/>
          <w:szCs w:val="24"/>
        </w:rPr>
        <w:t xml:space="preserve">(a) Intent.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A single class of ownership in all events.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w:t>
      </w:r>
      <w:r>
        <w:rPr>
          <w:rFonts w:ascii="Times New Roman" w:hAnsi="Times New Roman"/>
          <w:strike/>
          <w:color w:val="C00000"/>
          <w:sz w:val="24"/>
          <w:szCs w:val="24"/>
        </w:rPr>
        <w:t xml:space="preserve">Member and </w:t>
      </w:r>
      <w:r>
        <w:rPr>
          <w:rFonts w:ascii="Times New Roman" w:hAnsi="Times New Roman"/>
          <w:color w:val="0645AD"/>
          <w:u w:val="single"/>
          <w:sz w:val="24"/>
          <w:szCs w:val="24"/>
        </w:rPr>
        <w:t xml:space="preserve">Member, </w:t>
      </w:r>
      <w:r>
        <w:rPr>
          <w:rFonts w:ascii="Times New Roman" w:hAnsi="Times New Roman"/>
          <w:sz w:val="24"/>
          <w:szCs w:val="24"/>
        </w:rPr>
        <w:t xml:space="preserve">upon the admitted person's delivery of a signed agreement to be bound by 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 </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w:t>
      </w:r>
      <w:r>
        <w:rPr>
          <w:rFonts w:ascii="Times New Roman" w:hAnsi="Times New Roman"/>
          <w:strike/>
          <w:color w:val="C00000"/>
          <w:sz w:val="24"/>
          <w:szCs w:val="24"/>
        </w:rPr>
        <w:t xml:space="preserve">class) </w:t>
      </w:r>
      <w:r>
        <w:rPr>
          <w:rFonts w:ascii="Times New Roman" w:hAnsi="Times New Roman"/>
          <w:color w:val="0645AD"/>
          <w:u w:val="single"/>
          <w:sz w:val="24"/>
          <w:szCs w:val="24"/>
        </w:rPr>
        <w:t xml:space="preserve">class of ownership)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 </w:t>
      </w:r>
      <w:r>
        <w:rPr>
          <w:rFonts w:ascii="Times New Roman" w:hAnsi="Times New Roman"/>
          <w:color w:val="0645AD"/>
          <w:u w:val="single"/>
          <w:sz w:val="24"/>
          <w:szCs w:val="24"/>
        </w:rPr>
        <w:t xml:space="preserve">A designation is effective only in favor of a beneficiary that is an eligible S corporation shareholder (Section 9.3(b)). </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Article 9, </w:t>
      </w:r>
      <w:r>
        <w:rPr>
          <w:rFonts w:ascii="Times New Roman" w:hAnsi="Times New Roman"/>
          <w:sz w:val="24"/>
          <w:szCs w:val="24"/>
        </w:rPr>
        <w:t xml:space="preserve">or non-variable provisions of the Act] |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Single Member / </w:t>
      </w:r>
      <w:r>
        <w:rPr>
          <w:rFonts w:ascii="Times New Roman" w:hAnsi="Times New Roman"/>
          <w:strike/>
          <w:color w:val="C00000"/>
          <w:sz w:val="24"/>
          <w:szCs w:val="24"/>
        </w:rPr>
        <w:t xml:space="preserve">Disregarded Entity),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r>
        <w:rPr>
          <w:rFonts w:ascii="Times New Roman" w:hAnsi="Times New Roman"/>
          <w:color w:val="0645AD"/>
          <w:u w:val="single"/>
          <w:sz w:val="24"/>
          <w:szCs w:val="24"/>
        </w:rPr>
        <w:t xml:space="preserve">Code references: sections 1361, 1362, 1378.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