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your agreement may name the member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whoever runs the company — the Manager in a manager-managed company, the members in a member-managed one — as its Series Exhibit 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In the </w:t>
            </w:r>
            <w:r>
              <w:rPr>
                <w:rFonts w:ascii="Georgia" w:hAnsi="Georgia"/>
                <w:b/>
                <w:sz w:val="20"/>
                <w:szCs w:val="20"/>
              </w:rPr>
              <w:t xml:space="preserve">single-owner member-managed</w:t>
            </w:r>
            <w:r>
              <w:rPr>
                <w:rFonts w:ascii="Georgia" w:hAnsi="Georgia"/>
                <w:sz w:val="20"/>
                <w:szCs w:val="20"/>
              </w:rPr>
              <w:t xml:space="preserve"> forms you are named the protected-series manager of each series directly, as s. 605.2107(1)(n) permits.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Chapter 16 is settled law. This chapter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