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204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2.7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2.8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2.9 "Manager" means the person named in Section 5.1 and any successor designated under this Agreement.</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"Protected Series Manager" means the person responsible for management of a Protected Series under Section 5.2.</w:t>
      </w:r>
    </w:p>
    <w:p>
      <w:pPr>
        <w:keepLines/>
        <w:widowControl/>
        <w:spacing w:after="160"/>
        <w:jc w:val="both"/>
      </w:pPr>
      <w:r>
        <w:rPr>
          <w:rFonts w:ascii="Times New Roman" w:hAnsi="Times New Roman"/>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transfer, re-associate, or re-title any asset between the Company and a Protected Series or between Protected Series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5.7 Compensation; Reimbursement; Shared Expenses.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z w:val="24"/>
          <w:szCs w:val="24"/>
        </w:rPr>
        <w:t xml:space="preserve">5.8 Statement of Authority.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sz w:val="24"/>
          <w:szCs w:val="24"/>
        </w:rPr>
        <w:t xml:space="preserve">5.9 Competition; Other Activities of the Manager. [SELECT THE SAME ALTERNATIVE AS SECTION 4.7]</w:t>
      </w:r>
    </w:p>
    <w:p>
      <w:pPr>
        <w:keepLines/>
        <w:widowControl/>
        <w:spacing w:after="160"/>
        <w:jc w:val="both"/>
      </w:pPr>
      <w:r>
        <w:rPr>
          <w:rFonts w:ascii="Times New Roman" w:hAnsi="Times New Roman"/>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Manager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the Manager may make distributions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Manager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Manager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Manager designates) shall serve as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the 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the Manager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Manager.</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Multiple Members </w:t>
      </w:r>
      <w:r>
        <w:rPr>
          <w:rFonts w:ascii="Times New Roman" w:hAnsi="Times New Roman"/>
          <w:color w:val="0645AD"/>
          <w:u w:val="single"/>
          <w:sz w:val="24"/>
          <w:szCs w:val="24"/>
        </w:rPr>
        <w:t xml:space="preserve">(Manager-Managed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