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Capital allocated by the Company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