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widowControl/>
        <w:spacing w:before="240" w:after="200"/>
        <w:jc w:val="center"/>
      </w:pPr>
      <w:r>
        <w:rPr>
          <w:rFonts w:ascii="Times New Roman" w:hAnsi="Times New Roman"/>
          <w:b/>
          <w:sz w:val="28"/>
          <w:szCs w:val="28"/>
        </w:rPr>
        <w:t xml:space="preserve">OPERATING AGREEMENT</w:t>
      </w:r>
    </w:p>
    <w:p>
      <w:pPr>
        <w:keepNext/>
        <w:widowControl/>
        <w:spacing w:before="240" w:after="200"/>
        <w:jc w:val="center"/>
      </w:pPr>
      <w:r>
        <w:rPr>
          <w:rFonts w:ascii="Times New Roman" w:hAnsi="Times New Roman"/>
          <w:b/>
          <w:sz w:val="26"/>
          <w:szCs w:val="26"/>
        </w:rPr>
        <w:t xml:space="preserve">OF</w:t>
      </w:r>
    </w:p>
    <w:p>
      <w:pPr>
        <w:keepNext/>
        <w:widowControl/>
        <w:spacing w:before="240" w:after="200"/>
        <w:jc w:val="center"/>
      </w:pPr>
      <w:r>
        <w:rPr>
          <w:rFonts w:ascii="Times New Roman" w:hAnsi="Times New Roman"/>
          <w:b/>
          <w:sz w:val="26"/>
          <w:szCs w:val="26"/>
        </w:rPr>
        <w:t xml:space="preserve">[COMPANY NAME], LLC</w:t>
      </w:r>
    </w:p>
    <w:p>
      <w:pPr>
        <w:keepNext/>
        <w:widowControl/>
        <w:spacing w:before="240" w:after="200"/>
        <w:jc w:val="center"/>
      </w:pPr>
      <w:r>
        <w:rPr>
          <w:rFonts w:ascii="Times New Roman" w:hAnsi="Times New Roman"/>
          <w:b/>
          <w:sz w:val="24"/>
          <w:szCs w:val="24"/>
        </w:rPr>
        <w:t xml:space="preserve">A FLORIDA PROTECTED SERIES LIMITED LIABILITY COMPANY</w:t>
      </w:r>
    </w:p>
    <w:p>
      <w:pPr>
        <w:keepNext/>
        <w:widowControl/>
        <w:spacing w:before="0" w:after="160"/>
        <w:jc w:val="center"/>
      </w:pPr>
      <w:r>
        <w:rPr>
          <w:rFonts w:ascii="Times New Roman" w:hAnsi="Times New Roman"/>
          <w:b/>
          <w:sz w:val="24"/>
          <w:szCs w:val="24"/>
        </w:rPr>
        <w:t xml:space="preserve">(Manager-Managed — Multiple Members / Partnership Taxation)</w:t>
      </w:r>
    </w:p>
    <w:p>
      <w:pPr>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and among the undersigned members (each a "Member" and collectively the "Members") and is acknowledged by the undersigned manager (the "Manager").</w:t>
      </w:r>
    </w:p>
    <w:p>
      <w:pPr>
        <w:keepNext/>
        <w:widowControl/>
        <w:spacing w:before="240" w:after="200"/>
        <w:jc w:val="center"/>
      </w:pPr>
      <w:r>
        <w:rPr>
          <w:rFonts w:ascii="Times New Roman" w:hAnsi="Times New Roman"/>
          <w:b/>
          <w:sz w:val="24"/>
          <w:szCs w:val="24"/>
        </w:rPr>
        <w:t xml:space="preserve">RECITALS</w:t>
      </w:r>
    </w:p>
    <w:p>
      <w:pPr>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the Members, and the Manager.</w:t>
      </w:r>
    </w:p>
    <w:p>
      <w:pPr>
        <w:keepNext/>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Next/>
        <w:widowControl/>
        <w:spacing w:before="240" w:after="200"/>
      </w:pPr>
      <w:r>
        <w:rPr>
          <w:rFonts w:ascii="Times New Roman" w:hAnsi="Times New Roman"/>
          <w:b/>
          <w:sz w:val="26"/>
          <w:szCs w:val="26"/>
        </w:rPr>
        <w:t xml:space="preserve">ARTICLE 1 — THE COMPANY</w:t>
      </w:r>
    </w:p>
    <w:p>
      <w:pPr>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Manager shall promptly make all filings required to conform the name of each Protected Series.</w:t>
      </w:r>
    </w:p>
    <w:p>
      <w:pPr>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the Manager may determine. A Protected Series may maintain its own place of business as determined by its Protected Series Manager.</w:t>
      </w:r>
    </w:p>
    <w:p>
      <w:pPr>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Manager determines, and shall at all times be retrievable in perceivable form.</w:t>
      </w:r>
    </w:p>
    <w:p>
      <w:pPr>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Manager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widowControl/>
        <w:spacing w:after="160"/>
        <w:jc w:val="both"/>
      </w:pPr>
      <w:r>
        <w:rPr>
          <w:rFonts w:ascii="Times New Roman" w:hAnsi="Times New Roman"/>
          <w:b/>
          <w:sz w:val="24"/>
          <w:szCs w:val="24"/>
        </w:rPr>
        <w:t xml:space="preserve">1.11 Waiver of Partition Rights.</w:t>
      </w:r>
      <w:r>
        <w:rPr>
          <w:rFonts w:ascii="Times New Roman" w:hAnsi="Times New Roman"/>
          <w:sz w:val="24"/>
          <w:szCs w:val="24"/>
        </w:rPr>
        <w:t xml:space="preserve"> Each Member irrevocably waives any right to maintain an action for partition or any similar action with respect to any property of the Company or of any Protected Series.</w:t>
      </w:r>
    </w:p>
    <w:p>
      <w:pPr>
        <w:keepNext/>
        <w:widowControl/>
        <w:spacing w:before="240" w:after="200"/>
      </w:pPr>
      <w:r>
        <w:rPr>
          <w:rFonts w:ascii="Times New Roman" w:hAnsi="Times New Roman"/>
          <w:b/>
          <w:sz w:val="26"/>
          <w:szCs w:val="26"/>
        </w:rPr>
        <w:t xml:space="preserve">ARTICLE 2 — DEFINITIONS</w:t>
      </w:r>
    </w:p>
    <w:p>
      <w:pPr>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widowControl/>
        <w:spacing w:after="160"/>
        <w:jc w:val="both"/>
      </w:pPr>
      <w:r>
        <w:rPr>
          <w:rFonts w:ascii="Times New Roman" w:hAnsi="Times New Roman"/>
          <w:b/>
          <w:sz w:val="24"/>
          <w:szCs w:val="24"/>
        </w:rPr>
        <w:t xml:space="preserve">2.5 "Company"</w:t>
      </w:r>
      <w:r>
        <w:rPr>
          <w:rFonts w:ascii="Times New Roman" w:hAnsi="Times New Roman"/>
          <w:sz w:val="24"/>
          <w:szCs w:val="24"/>
        </w:rPr>
        <w:t xml:space="preserve"> means [COMPANY NAME], LLC.</w:t>
      </w:r>
    </w:p>
    <w:p>
      <w:pPr>
        <w:widowControl/>
        <w:spacing w:after="160"/>
        <w:jc w:val="both"/>
      </w:pPr>
      <w:r>
        <w:rPr>
          <w:rFonts w:ascii="Times New Roman" w:hAnsi="Times New Roman"/>
          <w:b/>
          <w:sz w:val="24"/>
          <w:szCs w:val="24"/>
        </w:rPr>
        <w:t xml:space="preserve">2.6 "Immediate Family Member"</w:t>
      </w:r>
      <w:r>
        <w:rPr>
          <w:rFonts w:ascii="Times New Roman" w:hAnsi="Times New Roman"/>
          <w:sz w:val="24"/>
          <w:szCs w:val="24"/>
        </w:rPr>
        <w:t xml:space="preserve">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widowControl/>
        <w:spacing w:after="160"/>
        <w:jc w:val="both"/>
      </w:pPr>
      <w:r>
        <w:rPr>
          <w:rFonts w:ascii="Times New Roman" w:hAnsi="Times New Roman"/>
          <w:b/>
          <w:sz w:val="24"/>
          <w:szCs w:val="24"/>
        </w:rPr>
        <w:t xml:space="preserve">2.7 "Incapacitated"</w:t>
      </w:r>
      <w:r>
        <w:rPr>
          <w:rFonts w:ascii="Times New Roman" w:hAnsi="Times New Roman"/>
          <w:sz w:val="24"/>
          <w:szCs w:val="24"/>
        </w:rPr>
        <w:t xml:space="preserve"> means, as to any person, that (a) a court of competent jurisdiction has determined the person to be incapacitated or has appointed a guardian of the person's property, or (b) two licensed physicians have certified in writing that the person is unable to manage the person's financial affairs. A person ceases to be Incapacitated upon a court order restoring capacity or a written certification by two licensed physicians that the person is again able to manage the person's financial affairs.</w:t>
      </w:r>
    </w:p>
    <w:p>
      <w:pPr>
        <w:widowControl/>
        <w:spacing w:after="160"/>
        <w:jc w:val="both"/>
      </w:pPr>
      <w:r>
        <w:rPr>
          <w:rFonts w:ascii="Times New Roman" w:hAnsi="Times New Roman"/>
          <w:b/>
          <w:sz w:val="24"/>
          <w:szCs w:val="24"/>
        </w:rPr>
        <w:t xml:space="preserve">2.8 "Involuntary Transfer"</w:t>
      </w:r>
      <w:r>
        <w:rPr>
          <w:rFonts w:ascii="Times New Roman" w:hAnsi="Times New Roman"/>
          <w:sz w:val="24"/>
          <w:szCs w:val="24"/>
        </w:rPr>
        <w:t xml:space="preserve"> means any 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w:t>
      </w:r>
    </w:p>
    <w:p>
      <w:pPr>
        <w:widowControl/>
        <w:spacing w:after="160"/>
        <w:jc w:val="both"/>
      </w:pPr>
      <w:r>
        <w:rPr>
          <w:rFonts w:ascii="Times New Roman" w:hAnsi="Times New Roman"/>
          <w:b/>
          <w:sz w:val="24"/>
          <w:szCs w:val="24"/>
        </w:rPr>
        <w:t xml:space="preserve">2.9 "Majority in Interest"</w:t>
      </w:r>
      <w:r>
        <w:rPr>
          <w:rFonts w:ascii="Times New Roman" w:hAnsi="Times New Roman"/>
          <w:sz w:val="24"/>
          <w:szCs w:val="24"/>
        </w:rPr>
        <w:t xml:space="preserve">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w:t>
      </w:r>
    </w:p>
    <w:p>
      <w:pPr>
        <w:widowControl/>
        <w:spacing w:after="160"/>
        <w:jc w:val="both"/>
      </w:pPr>
      <w:r>
        <w:rPr>
          <w:rFonts w:ascii="Times New Roman" w:hAnsi="Times New Roman"/>
          <w:b/>
          <w:sz w:val="24"/>
          <w:szCs w:val="24"/>
        </w:rPr>
        <w:t xml:space="preserve">2.10 "Manager"</w:t>
      </w:r>
      <w:r>
        <w:rPr>
          <w:rFonts w:ascii="Times New Roman" w:hAnsi="Times New Roman"/>
          <w:sz w:val="24"/>
          <w:szCs w:val="24"/>
        </w:rPr>
        <w:t xml:space="preserve"> means the person named in Section 5.1 and any successor designated under this Agreement.</w:t>
      </w:r>
    </w:p>
    <w:p>
      <w:pPr>
        <w:widowControl/>
        <w:spacing w:after="160"/>
        <w:jc w:val="both"/>
      </w:pPr>
      <w:r>
        <w:rPr>
          <w:rFonts w:ascii="Times New Roman" w:hAnsi="Times New Roman"/>
          <w:b/>
          <w:sz w:val="24"/>
          <w:szCs w:val="24"/>
        </w:rPr>
        <w:t xml:space="preserve">2.11 "Member"</w:t>
      </w:r>
      <w:r>
        <w:rPr>
          <w:rFonts w:ascii="Times New Roman" w:hAnsi="Times New Roman"/>
          <w:sz w:val="24"/>
          <w:szCs w:val="24"/>
        </w:rPr>
        <w:t xml:space="preserve"> means each person identified as a member on Exhibit A and each person admitted as a member in accordance with this Agreement, in each case until dissociated.</w:t>
      </w:r>
    </w:p>
    <w:p>
      <w:pPr>
        <w:widowControl/>
        <w:spacing w:after="160"/>
        <w:jc w:val="both"/>
      </w:pPr>
      <w:r>
        <w:rPr>
          <w:rFonts w:ascii="Times New Roman" w:hAnsi="Times New Roman"/>
          <w:b/>
          <w:sz w:val="24"/>
          <w:szCs w:val="24"/>
        </w:rPr>
        <w:t xml:space="preserve">2.12 "Membership Interest"</w:t>
      </w:r>
      <w:r>
        <w:rPr>
          <w:rFonts w:ascii="Times New Roman" w:hAnsi="Times New Roman"/>
          <w:sz w:val="24"/>
          <w:szCs w:val="24"/>
        </w:rPr>
        <w:t xml:space="preserve"> means a Member's entire interest in the Company, including the Member's interest in capital, profits, and distributions of the Company, and all rights of a member under the Act and this Agreement.</w:t>
      </w:r>
    </w:p>
    <w:p>
      <w:pPr>
        <w:widowControl/>
        <w:spacing w:after="160"/>
        <w:jc w:val="both"/>
      </w:pPr>
      <w:r>
        <w:rPr>
          <w:rFonts w:ascii="Times New Roman" w:hAnsi="Times New Roman"/>
          <w:b/>
          <w:sz w:val="24"/>
          <w:szCs w:val="24"/>
        </w:rPr>
        <w:t xml:space="preserve">2.13 "Percentage Interest"</w:t>
      </w:r>
      <w:r>
        <w:rPr>
          <w:rFonts w:ascii="Times New Roman" w:hAnsi="Times New Roman"/>
          <w:sz w:val="24"/>
          <w:szCs w:val="24"/>
        </w:rPr>
        <w:t xml:space="preserve"> means, as to each Member, the percentage or fractional interest set forth for that Member on Exhibit A, as adjusted from time to time under this Agreement. Membership interests are of a single class.</w:t>
      </w:r>
    </w:p>
    <w:p>
      <w:pPr>
        <w:widowControl/>
        <w:spacing w:after="160"/>
        <w:jc w:val="both"/>
      </w:pPr>
      <w:r>
        <w:rPr>
          <w:rFonts w:ascii="Times New Roman" w:hAnsi="Times New Roman"/>
          <w:b/>
          <w:sz w:val="24"/>
          <w:szCs w:val="24"/>
        </w:rPr>
        <w:t xml:space="preserve">2.14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widowControl/>
        <w:spacing w:after="160"/>
        <w:jc w:val="both"/>
      </w:pPr>
      <w:r>
        <w:rPr>
          <w:rFonts w:ascii="Times New Roman" w:hAnsi="Times New Roman"/>
          <w:b/>
          <w:sz w:val="24"/>
          <w:szCs w:val="24"/>
        </w:rPr>
        <w:t xml:space="preserve">2.15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widowControl/>
        <w:spacing w:after="160"/>
        <w:jc w:val="both"/>
      </w:pPr>
      <w:r>
        <w:rPr>
          <w:rFonts w:ascii="Times New Roman" w:hAnsi="Times New Roman"/>
          <w:b/>
          <w:sz w:val="24"/>
          <w:szCs w:val="24"/>
        </w:rPr>
        <w:t xml:space="preserve">2.16 "Protected Series Manager"</w:t>
      </w:r>
      <w:r>
        <w:rPr>
          <w:rFonts w:ascii="Times New Roman" w:hAnsi="Times New Roman"/>
          <w:sz w:val="24"/>
          <w:szCs w:val="24"/>
        </w:rPr>
        <w:t xml:space="preserve"> means the person responsible for management of a Protected Series under Section 5.2.</w:t>
      </w:r>
    </w:p>
    <w:p>
      <w:pPr>
        <w:widowControl/>
        <w:spacing w:after="160"/>
        <w:jc w:val="both"/>
      </w:pPr>
      <w:r>
        <w:rPr>
          <w:rFonts w:ascii="Times New Roman" w:hAnsi="Times New Roman"/>
          <w:b/>
          <w:sz w:val="24"/>
          <w:szCs w:val="24"/>
        </w:rPr>
        <w:t xml:space="preserve">2.17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including its purpose, its capital, and its Associated Assets. Each Series Exhibit is a part of this Agreement.</w:t>
      </w:r>
    </w:p>
    <w:p>
      <w:pPr>
        <w:widowControl/>
        <w:spacing w:after="160"/>
        <w:jc w:val="both"/>
      </w:pPr>
      <w:r>
        <w:rPr>
          <w:rFonts w:ascii="Times New Roman" w:hAnsi="Times New Roman"/>
          <w:b/>
          <w:sz w:val="24"/>
          <w:szCs w:val="24"/>
        </w:rPr>
        <w:t xml:space="preserve">2.18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widowControl/>
        <w:spacing w:before="240" w:after="200"/>
      </w:pPr>
      <w:r>
        <w:rPr>
          <w:rFonts w:ascii="Times New Roman" w:hAnsi="Times New Roman"/>
          <w:b/>
          <w:sz w:val="26"/>
          <w:szCs w:val="26"/>
        </w:rPr>
        <w:t xml:space="preserve">ARTICLE 3 — PROTECTED SERIES</w:t>
      </w:r>
    </w:p>
    <w:p>
      <w:pPr>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affirmative vote or consent of </w:t>
      </w:r>
      <w:r>
        <w:rPr>
          <w:rFonts w:ascii="Times New Roman" w:hAnsi="Times New Roman"/>
          <w:b/>
          <w:sz w:val="24"/>
          <w:szCs w:val="24"/>
        </w:rPr>
        <w:t xml:space="preserve">all</w:t>
      </w:r>
      <w:r>
        <w:rPr>
          <w:rFonts w:ascii="Times New Roman" w:hAnsi="Times New Roman"/>
          <w:sz w:val="24"/>
          <w:szCs w:val="24"/>
        </w:rPr>
        <w:t xml:space="preserve"> Members, the Company may establish one or more Protected Series by causing a Protected Series Designation to be signed and filed with the Department as provided in s. 605.2201, Florida Statutes. At or before the filing of each Protected Series Designation, the Members and the Manager shall adopt a Series Exhibit for the new Protected Series. The Manager is authorized to execute and file each Protected Series Designation approved under this Section. Each Protected Series shall be established without Associated Members.</w:t>
      </w:r>
    </w:p>
    <w:p>
      <w:pPr>
        <w:keepNext/>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from each Member, and from the Manager;</w:t>
      </w:r>
    </w:p>
    <w:p>
      <w:pPr>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widowControl/>
        <w:spacing w:after="160"/>
        <w:jc w:val="both"/>
      </w:pPr>
      <w:r>
        <w:rPr>
          <w:rFonts w:ascii="Times New Roman" w:hAnsi="Times New Roman"/>
          <w:sz w:val="24"/>
          <w:szCs w:val="24"/>
        </w:rPr>
        <w:t xml:space="preserve">(d) No Member and no Manager is personally liable, directly or indirectly, by way of contribution or otherwise, for any debt, obligation, or liability of the Company or of any Protected Series solely by reason of being or acting as a member, manager, or protected-series manager.</w:t>
      </w:r>
    </w:p>
    <w:p>
      <w:pPr>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Protected Series Manager,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Next/>
        <w:widowControl/>
        <w:spacing w:after="160"/>
        <w:jc w:val="both"/>
      </w:pPr>
      <w:r>
        <w:rPr>
          <w:rFonts w:ascii="Times New Roman" w:hAnsi="Times New Roman"/>
          <w:b/>
          <w:sz w:val="24"/>
          <w:szCs w:val="24"/>
        </w:rPr>
        <w:t xml:space="preserve">3.6 Company as Owner.</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No transfer of a protected-series transferable interest.</w:t>
      </w:r>
      <w:r>
        <w:rPr>
          <w:rFonts w:ascii="Times New Roman" w:hAnsi="Times New Roman"/>
          <w:sz w:val="24"/>
          <w:szCs w:val="24"/>
        </w:rPr>
        <w:t xml:space="preserve">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Next/>
        <w:widowControl/>
        <w:spacing w:before="240" w:after="200"/>
      </w:pPr>
      <w:r>
        <w:rPr>
          <w:rFonts w:ascii="Times New Roman" w:hAnsi="Times New Roman"/>
          <w:b/>
          <w:sz w:val="26"/>
          <w:szCs w:val="26"/>
        </w:rPr>
        <w:t xml:space="preserve">ARTICLE 4 — MEMBERS; VOTING; MEMBER DUTIES</w:t>
      </w:r>
    </w:p>
    <w:p>
      <w:pPr>
        <w:widowControl/>
        <w:spacing w:after="160"/>
        <w:jc w:val="both"/>
      </w:pPr>
      <w:r>
        <w:rPr>
          <w:rFonts w:ascii="Times New Roman" w:hAnsi="Times New Roman"/>
          <w:b/>
          <w:sz w:val="24"/>
          <w:szCs w:val="24"/>
        </w:rPr>
        <w:t xml:space="preserve">4.1 Members; Percentage Interests.</w:t>
      </w:r>
      <w:r>
        <w:rPr>
          <w:rFonts w:ascii="Times New Roman" w:hAnsi="Times New Roman"/>
          <w:sz w:val="24"/>
          <w:szCs w:val="24"/>
        </w:rPr>
        <w:t xml:space="preserve"> The Members and their Percentage Interests are set forth on Exhibit A. Membership interests are of a single class and are expressed as percentages; no certificates shall be issued unless the Manager determines otherwise. Each Member's interest in the Company is personal property for all purposes.</w:t>
      </w:r>
    </w:p>
    <w:p>
      <w:pPr>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widowControl/>
        <w:spacing w:after="160"/>
        <w:jc w:val="both"/>
      </w:pPr>
      <w:r>
        <w:rPr>
          <w:rFonts w:ascii="Times New Roman" w:hAnsi="Times New Roman"/>
          <w:b/>
          <w:sz w:val="24"/>
          <w:szCs w:val="24"/>
        </w:rPr>
        <w:t xml:space="preserve">4.3 Voting.</w:t>
      </w:r>
      <w:r>
        <w:rPr>
          <w:rFonts w:ascii="Times New Roman" w:hAnsi="Times New Roman"/>
          <w:sz w:val="24"/>
          <w:szCs w:val="24"/>
        </w:rPr>
        <w:t xml:space="preserve">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entirety shall be voted only by the consensus of both spouses; neither spouse acting alone may vote the interest except as the other spouse's attorney-in-fact under a duly executed power of attorney.</w:t>
      </w:r>
    </w:p>
    <w:p>
      <w:pPr>
        <w:widowControl/>
        <w:spacing w:after="160"/>
        <w:jc w:val="both"/>
      </w:pPr>
      <w:r>
        <w:rPr>
          <w:rFonts w:ascii="Times New Roman" w:hAnsi="Times New Roman"/>
          <w:b/>
          <w:sz w:val="24"/>
          <w:szCs w:val="24"/>
        </w:rPr>
        <w:t xml:space="preserve">4.4 Meetings; Written Consents.</w:t>
      </w:r>
      <w:r>
        <w:rPr>
          <w:rFonts w:ascii="Times New Roman" w:hAnsi="Times New Roman"/>
          <w:sz w:val="24"/>
          <w:szCs w:val="24"/>
        </w:rPr>
        <w:t xml:space="preserve"> No regular meetings are required. Any Member or the Manager 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w:t>
      </w:r>
    </w:p>
    <w:p>
      <w:pPr>
        <w:widowControl/>
        <w:spacing w:after="160"/>
        <w:jc w:val="both"/>
      </w:pPr>
      <w:r>
        <w:rPr>
          <w:rFonts w:ascii="Times New Roman" w:hAnsi="Times New Roman"/>
          <w:b/>
          <w:sz w:val="24"/>
          <w:szCs w:val="24"/>
        </w:rPr>
        <w:t xml:space="preserve">4.5 Limited Liability; No Agency.</w:t>
      </w:r>
      <w:r>
        <w:rPr>
          <w:rFonts w:ascii="Times New Roman" w:hAnsi="Times New Roman"/>
          <w:sz w:val="24"/>
          <w:szCs w:val="24"/>
        </w:rPr>
        <w:t xml:space="preserve">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widowControl/>
        <w:spacing w:after="160"/>
        <w:jc w:val="both"/>
      </w:pPr>
      <w:r>
        <w:rPr>
          <w:rFonts w:ascii="Times New Roman" w:hAnsi="Times New Roman"/>
          <w:b/>
          <w:sz w:val="24"/>
          <w:szCs w:val="24"/>
        </w:rPr>
        <w:t xml:space="preserve">4.6 Duty to Participate in Governance.</w:t>
      </w:r>
      <w:r>
        <w:rPr>
          <w:rFonts w:ascii="Times New Roman" w:hAnsi="Times New Roman"/>
          <w:sz w:val="24"/>
          <w:szCs w:val="24"/>
        </w:rPr>
        <w:t xml:space="preserv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Manager for the Company's or a Protected Series' filings, records, and tax reporting, and executing and delivering instruments reasonably required to carry out actions duly approved under this Agreement.</w:t>
      </w:r>
    </w:p>
    <w:p>
      <w:pPr>
        <w:keepNext/>
        <w:widowControl/>
        <w:spacing w:after="160"/>
        <w:jc w:val="both"/>
      </w:pPr>
      <w:r>
        <w:rPr>
          <w:rFonts w:ascii="Times New Roman" w:hAnsi="Times New Roman"/>
          <w:b/>
          <w:sz w:val="24"/>
          <w:szCs w:val="24"/>
        </w:rPr>
        <w:t xml:space="preserve">4.7 Competition. [SELECT ONE ALTERNATIVE — see Instructions]</w:t>
      </w:r>
    </w:p>
    <w:p>
      <w:pPr>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w:t>
      </w:r>
      <w:r>
        <w:rPr>
          <w:rFonts w:ascii="Times New Roman" w:hAnsi="Times New Roman"/>
          <w:i/>
          <w:sz w:val="24"/>
          <w:szCs w:val="24"/>
        </w:rPr>
        <w:t xml:space="preserve">(Retain the selected Alternative and delete the other. If Alternative B is selected, replace Section 11.1(c) with "(c) [Reserved.]" — do not renumber.)</w:t>
      </w:r>
    </w:p>
    <w:p>
      <w:pPr>
        <w:widowControl/>
        <w:spacing w:after="160"/>
        <w:jc w:val="both"/>
      </w:pPr>
      <w:r>
        <w:rPr>
          <w:rFonts w:ascii="Times New Roman" w:hAnsi="Times New Roman"/>
          <w:b/>
          <w:sz w:val="24"/>
          <w:szCs w:val="24"/>
        </w:rPr>
        <w:t xml:space="preserve">4.8 Confidentiality.</w:t>
      </w:r>
      <w:r>
        <w:rPr>
          <w:rFonts w:ascii="Times New Roman" w:hAnsi="Times New Roman"/>
          <w:sz w:val="24"/>
          <w:szCs w:val="24"/>
        </w:rPr>
        <w:t xml:space="preserve">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widowControl/>
        <w:spacing w:after="160"/>
        <w:jc w:val="both"/>
      </w:pPr>
      <w:r>
        <w:rPr>
          <w:rFonts w:ascii="Times New Roman" w:hAnsi="Times New Roman"/>
          <w:b/>
          <w:sz w:val="24"/>
          <w:szCs w:val="24"/>
        </w:rPr>
        <w:t xml:space="preserve">4.9 Non-Disparagement; No Interference.</w:t>
      </w:r>
      <w:r>
        <w:rPr>
          <w:rFonts w:ascii="Times New Roman" w:hAnsi="Times New Roman"/>
          <w:sz w:val="24"/>
          <w:szCs w:val="24"/>
        </w:rPr>
        <w:t xml:space="preserve"> No Member shall hinder or delay the activities and affairs of the Company or of any Protected Series, or slander, defame, or otherwise tarnish the reputation of the Company or of any Protected Series.</w:t>
      </w:r>
    </w:p>
    <w:p>
      <w:pPr>
        <w:widowControl/>
        <w:spacing w:after="160"/>
        <w:jc w:val="both"/>
      </w:pPr>
      <w:r>
        <w:rPr>
          <w:rFonts w:ascii="Times New Roman" w:hAnsi="Times New Roman"/>
          <w:b/>
          <w:sz w:val="24"/>
          <w:szCs w:val="24"/>
        </w:rPr>
        <w:t xml:space="preserve">4.10 Information Rights.</w:t>
      </w:r>
      <w:r>
        <w:rPr>
          <w:rFonts w:ascii="Times New Roman" w:hAnsi="Times New Roman"/>
          <w:sz w:val="24"/>
          <w:szCs w:val="24"/>
        </w:rPr>
        <w:t xml:space="preserve"> Each Member has the information and inspection rights provided by the Act with respect to the Company. The records of the Company that each Member may inspect include the records maintained under Article 8 for every Protected Series.</w:t>
      </w:r>
    </w:p>
    <w:p>
      <w:pPr>
        <w:widowControl/>
        <w:spacing w:after="160"/>
        <w:jc w:val="both"/>
      </w:pPr>
      <w:r>
        <w:rPr>
          <w:rFonts w:ascii="Times New Roman" w:hAnsi="Times New Roman"/>
          <w:b/>
          <w:sz w:val="24"/>
          <w:szCs w:val="24"/>
        </w:rPr>
        <w:t xml:space="preserve">4.11 Transfer on Death Designation.</w:t>
      </w:r>
      <w:r>
        <w:rPr>
          <w:rFonts w:ascii="Times New Roman" w:hAnsi="Times New Roman"/>
          <w:sz w:val="24"/>
          <w:szCs w:val="24"/>
        </w:rPr>
        <w:t xml:space="preserve">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who is an individual may designate any person or entity as a beneficiary. Members who hold a Membership Interest jointly as tenants in common may not designate a TOD beneficiary. A Member may change, delete, or add a TOD designation by a signed writing, witnessed by two witnesses, delivered to the Manager; the change is effective upon receipt unless the Manager objects in writing within seven (7) days, and the Manager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is admitted as a Member upon delivery to the Company of a written agreement to be bound by this Agreement and the written consent of a Majority in Interest of the Members other than the deceased Member.</w:t>
      </w:r>
    </w:p>
    <w:p>
      <w:pPr>
        <w:widowControl/>
        <w:spacing w:after="160"/>
        <w:jc w:val="both"/>
      </w:pPr>
      <w:r>
        <w:rPr>
          <w:rFonts w:ascii="Times New Roman" w:hAnsi="Times New Roman"/>
          <w:b/>
          <w:sz w:val="24"/>
          <w:szCs w:val="24"/>
        </w:rPr>
        <w:t xml:space="preserve">4.12 Incapacity of a Member.</w:t>
      </w:r>
      <w:r>
        <w:rPr>
          <w:rFonts w:ascii="Times New Roman" w:hAnsi="Times New Roman"/>
          <w:sz w:val="24"/>
          <w:szCs w:val="24"/>
        </w:rPr>
        <w:t xml:space="preserve"> While a Member is Incapacitated, that Member's rights under this Agreement — including the right to vote, to consent, and to sign any instrument — are exercised by the Member's agent under a durable power of attorney conferring that authority or, if there is none, by the Member's court-appointed guardian. The Company, the Manager, and the other Members may rely on a certified copy of the power of attorney or of the letters of guardianship without further inquiry.</w:t>
      </w:r>
    </w:p>
    <w:p>
      <w:pPr>
        <w:keepNext/>
        <w:widowControl/>
        <w:spacing w:before="240" w:after="200"/>
      </w:pPr>
      <w:r>
        <w:rPr>
          <w:rFonts w:ascii="Times New Roman" w:hAnsi="Times New Roman"/>
          <w:b/>
          <w:sz w:val="26"/>
          <w:szCs w:val="26"/>
        </w:rPr>
        <w:t xml:space="preserve">ARTICLE 5 — MANAGEMENT</w:t>
      </w:r>
    </w:p>
    <w:p>
      <w:pPr>
        <w:widowControl/>
        <w:spacing w:after="160"/>
        <w:jc w:val="both"/>
      </w:pPr>
      <w:r>
        <w:rPr>
          <w:rFonts w:ascii="Times New Roman" w:hAnsi="Times New Roman"/>
          <w:b/>
          <w:sz w:val="24"/>
          <w:szCs w:val="24"/>
        </w:rPr>
        <w:t xml:space="preserve">5.1 Manager-Managed; the Manager.</w:t>
      </w:r>
      <w:r>
        <w:rPr>
          <w:rFonts w:ascii="Times New Roman" w:hAnsi="Times New Roman"/>
          <w:sz w:val="24"/>
          <w:szCs w:val="24"/>
        </w:rPr>
        <w:t xml:space="preserve"> The Company is </w:t>
      </w:r>
      <w:r>
        <w:rPr>
          <w:rFonts w:ascii="Times New Roman" w:hAnsi="Times New Roman"/>
          <w:b/>
          <w:sz w:val="24"/>
          <w:szCs w:val="24"/>
        </w:rPr>
        <w:t xml:space="preserve">manager-managed</w:t>
      </w:r>
      <w:r>
        <w:rPr>
          <w:rFonts w:ascii="Times New Roman" w:hAnsi="Times New Roman"/>
          <w:sz w:val="24"/>
          <w:szCs w:val="24"/>
        </w:rPr>
        <w:t xml:space="preserve"> as provided in its Articles of Organization and this Agreement. The initial Manager is [MANAGER NAMES].The initial Managers are [MANAGER NAMES]. If more than one person is serving as Manager, every act, approval, consent, decision, or determination of the Manager under this Agreement requires the approval of a majority of the Managers then serving, and no Manager acting alone has actual authority to act for the Company or for any Protected Series. Anything required to be delivered to the Manager may be delivered to any Manager, and a covenant, restriction, or standard of conduct stated in this Agreement as applying to the Manager applies to each Manager individually. This Section governs among the Members and the Managers; it does not affect the agency rights of a Manager under s. 605.04074(2)(b), Florida Statutes, as to a person who dealt with the Manager without knowledge or notice that the Manager lacked authority. A Manager need not be a Member. A Manager serves until that Manager's resignation, removal, death, or Incapacity. If a Manager ceases to serve as Manager for any reason, the remaining Managers shall continue to serve. A Manager may be removed, with or without cause, and a successor or additional Manager may be appointed, by a Majority in Interest, evidenced by a signed writing delivered to the Company.</w:t>
      </w:r>
    </w:p>
    <w:p>
      <w:pPr>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w:t>
      </w:r>
      <w:r>
        <w:rPr>
          <w:rFonts w:ascii="Times New Roman" w:hAnsi="Times New Roman"/>
          <w:b/>
          <w:sz w:val="24"/>
          <w:szCs w:val="24"/>
        </w:rPr>
        <w:t xml:space="preserve">manager-managed</w:t>
      </w:r>
      <w:r>
        <w:rPr>
          <w:rFonts w:ascii="Times New Roman" w:hAnsi="Times New Roman"/>
          <w:sz w:val="24"/>
          <w:szCs w:val="24"/>
        </w:rPr>
        <w:t xml:space="preserve">. The Series Exhibit for a Protected Series may name one or more Protected Series Managers of that Protected Series. If it names none, each person then serving as a Manager of the Company is a Protected Series Manager of that Protected Series. As permitted by s. 605.2107(1)(n), Florida Statutes, this Section varies s. 605.2304(2) so that the Protected Series Managers are the Manager or Managers of the Company rather than the Company itself. A Protected Series Manager has, with respect to its Protected Series, the rights, powers, and duties that a manager of a manager-managed limited liability company has under the Act, subject to this Agreement and the Series Exhibit, and may be removed and replaced with respect to that Protected Series by a Majority in Interest of the Members.</w:t>
      </w:r>
    </w:p>
    <w:p>
      <w:pPr>
        <w:widowControl/>
        <w:spacing w:after="160"/>
        <w:jc w:val="both"/>
      </w:pPr>
      <w:r>
        <w:rPr>
          <w:rFonts w:ascii="Times New Roman" w:hAnsi="Times New Roman"/>
          <w:b/>
          <w:sz w:val="24"/>
          <w:szCs w:val="24"/>
        </w:rPr>
        <w:t xml:space="preserve">5.3 Authority of the Manager.</w:t>
      </w:r>
      <w:r>
        <w:rPr>
          <w:rFonts w:ascii="Times New Roman" w:hAnsi="Times New Roman"/>
          <w:sz w:val="24"/>
          <w:szCs w:val="24"/>
        </w:rPr>
        <w:t xml:space="preserve"> Except as limited by Section 5.4 or an applicable Series Exhibit, the 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the applicable Protected Series.</w:t>
      </w:r>
    </w:p>
    <w:p>
      <w:pPr>
        <w:keepNext/>
        <w:widowControl/>
        <w:spacing w:after="160"/>
        <w:jc w:val="both"/>
      </w:pPr>
      <w:r>
        <w:rPr>
          <w:rFonts w:ascii="Times New Roman" w:hAnsi="Times New Roman"/>
          <w:b/>
          <w:sz w:val="24"/>
          <w:szCs w:val="24"/>
        </w:rPr>
        <w:t xml:space="preserve">5.4 Actions Requiring Member Approval.</w:t>
      </w:r>
      <w:r>
        <w:rPr>
          <w:rFonts w:ascii="Times New Roman" w:hAnsi="Times New Roman"/>
          <w:sz w:val="24"/>
          <w:szCs w:val="24"/>
        </w:rPr>
        <w:t xml:space="preserve"> Notwithstanding Section 5.3, neither the Manager nor any Protected Series Manager shall do any of the following without the approval stated:</w:t>
      </w:r>
    </w:p>
    <w:p>
      <w:pPr>
        <w:widowControl/>
        <w:spacing w:after="160"/>
        <w:jc w:val="both"/>
      </w:pPr>
      <w:r>
        <w:rPr>
          <w:rFonts w:ascii="Times New Roman" w:hAnsi="Times New Roman"/>
          <w:sz w:val="24"/>
          <w:szCs w:val="24"/>
        </w:rPr>
        <w:t xml:space="preserve">(a) establish a new Protected Series — the consent of </w:t>
      </w:r>
      <w:r>
        <w:rPr>
          <w:rFonts w:ascii="Times New Roman" w:hAnsi="Times New Roman"/>
          <w:b/>
          <w:sz w:val="24"/>
          <w:szCs w:val="24"/>
        </w:rPr>
        <w:t xml:space="preserve">all Members</w:t>
      </w:r>
      <w:r>
        <w:rPr>
          <w:rFonts w:ascii="Times New Roman" w:hAnsi="Times New Roman"/>
          <w:sz w:val="24"/>
          <w:szCs w:val="24"/>
        </w:rPr>
        <w:t xml:space="preserve"> (Section 3.1);</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cause any Associated Asset to become an Associated Asset of the Company or of a different Protected Series</w:t>
      </w:r>
      <w:r>
        <w:rPr>
          <w:rFonts w:ascii="Times New Roman" w:hAnsi="Times New Roman"/>
          <w:sz w:val="24"/>
          <w:szCs w:val="24"/>
        </w:rPr>
        <w:t xml:space="preserve"> — the consent of a Majority in Interest;</w:t>
      </w:r>
    </w:p>
    <w:p>
      <w:pPr>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of business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sz w:val="24"/>
          <w:szCs w:val="24"/>
        </w:rPr>
        <w:t xml:space="preserve">(d) merge the Company as permitted by the Act — the consent of </w:t>
      </w:r>
      <w:r>
        <w:rPr>
          <w:rFonts w:ascii="Times New Roman" w:hAnsi="Times New Roman"/>
          <w:b/>
          <w:sz w:val="24"/>
          <w:szCs w:val="24"/>
        </w:rPr>
        <w:t xml:space="preserve">all Members</w:t>
      </w:r>
      <w:r>
        <w:rPr>
          <w:rFonts w:ascii="Times New Roman" w:hAnsi="Times New Roman"/>
          <w:sz w:val="24"/>
          <w:szCs w:val="24"/>
        </w:rPr>
        <w:t xml:space="preserve">; or file a statement of dissolution of a Protected Series — the approval required by Section 14.1;</w:t>
      </w:r>
    </w:p>
    <w:p>
      <w:pPr>
        <w:widowControl/>
        <w:spacing w:after="160"/>
        <w:jc w:val="both"/>
      </w:pPr>
      <w:r>
        <w:rPr>
          <w:rFonts w:ascii="Times New Roman" w:hAnsi="Times New Roman"/>
          <w:sz w:val="24"/>
          <w:szCs w:val="24"/>
        </w:rPr>
        <w:t xml:space="preserve">(e) admit any additional Member — the approval required by Article 12;</w:t>
      </w:r>
    </w:p>
    <w:p>
      <w:pPr>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sz w:val="24"/>
          <w:szCs w:val="24"/>
        </w:rPr>
        <w:t xml:space="preserve">(g) lend money of the Company or of a Protected Series to, or borrow from, a Member, the Manager, or their affiliates, other than loans under Section 6.5 — the consent of a Majority in Interest of the disinterested Members; or</w:t>
      </w:r>
    </w:p>
    <w:p>
      <w:pPr>
        <w:widowControl/>
        <w:spacing w:after="160"/>
        <w:jc w:val="both"/>
      </w:pPr>
      <w:r>
        <w:rPr>
          <w:rFonts w:ascii="Times New Roman" w:hAnsi="Times New Roman"/>
          <w:sz w:val="24"/>
          <w:szCs w:val="24"/>
        </w:rPr>
        <w:t xml:space="preserve">(h) amend this Agreement or any Series Exhibit — the approval required by Section 15.1; or</w:t>
      </w:r>
    </w:p>
    <w:p>
      <w:pPr>
        <w:widowControl/>
        <w:spacing w:after="160"/>
        <w:jc w:val="both"/>
      </w:pPr>
      <w:r>
        <w:rPr>
          <w:rFonts w:ascii="Times New Roman" w:hAnsi="Times New Roman"/>
          <w:sz w:val="24"/>
          <w:szCs w:val="24"/>
        </w:rPr>
        <w:t xml:space="preserve">(i) file, amend, or cancel a statement of authority under s. 605.0302, Florida Statutes, or record a certified copy of one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b/>
          <w:sz w:val="24"/>
          <w:szCs w:val="24"/>
        </w:rPr>
        <w:t xml:space="preserve">5.5 Standard of Conduct; Exculpation.</w:t>
      </w:r>
      <w:r>
        <w:rPr>
          <w:rFonts w:ascii="Times New Roman" w:hAnsi="Times New Roman"/>
          <w:sz w:val="24"/>
          <w:szCs w:val="24"/>
        </w:rPr>
        <w:t xml:space="preserve"> The Manager and each Protected Series Manager shall discharge their duties consistent with the Act, including the duties applicable to managers and protected-series managers. No Manager or Protected Series Manager shall be liable to the Company, any Protected Series, or any Member for any act or omission performed or omitted in good faith and in a manner reasonably believed to be within the scope of authority conferred by this Agreement, except for conduct for which exoneration is prohibited by the Act.</w:t>
      </w:r>
    </w:p>
    <w:p>
      <w:pPr>
        <w:widowControl/>
        <w:spacing w:after="160"/>
        <w:jc w:val="both"/>
      </w:pPr>
      <w:r>
        <w:rPr>
          <w:rFonts w:ascii="Times New Roman" w:hAnsi="Times New Roman"/>
          <w:b/>
          <w:sz w:val="24"/>
          <w:szCs w:val="24"/>
        </w:rPr>
        <w:t xml:space="preserve">5.6 Indemnification.</w:t>
      </w:r>
      <w:r>
        <w:rPr>
          <w:rFonts w:ascii="Times New Roman" w:hAnsi="Times New Roman"/>
          <w:sz w:val="24"/>
          <w:szCs w:val="24"/>
        </w:rPr>
        <w:t xml:space="preserve"> The Company shall indemnify the Manager, and each Protected Series shall indemnify its Protected Series Manager, to the fullest extent permitted by the Act, against losses, claims, and expenses (including reasonable attorney's fees) incurred by reason of service in that capacity, except to the extent arising from conduct for which exoneration is prohibited by the Act or from an act exceeding the authority conferred by Section 5.4;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 A Manager who exceeds the authority conferred by Section 5.4 is liable to the Company or the affected Protected Series for any loss caused by that act, and the Company or Protected Series is entitled to indemnity from that Manager.</w:t>
      </w:r>
    </w:p>
    <w:p>
      <w:pPr>
        <w:widowControl/>
        <w:spacing w:after="160"/>
        <w:jc w:val="both"/>
      </w:pPr>
      <w:r>
        <w:rPr>
          <w:rFonts w:ascii="Times New Roman" w:hAnsi="Times New Roman"/>
          <w:b/>
          <w:sz w:val="24"/>
          <w:szCs w:val="24"/>
        </w:rPr>
        <w:t xml:space="preserve">5.7 Compensation; Reimbursement; Shared Expenses.</w:t>
      </w:r>
      <w:r>
        <w:rPr>
          <w:rFonts w:ascii="Times New Roman" w:hAnsi="Times New Roman"/>
          <w:sz w:val="24"/>
          <w:szCs w:val="24"/>
        </w:rPr>
        <w:t xml:space="preserve"> The Manager shall serve without salary unless a Majority in Interest consents in writing to compensation. The Manager and each Protected Series Manager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Manager — by specific attribution where practicable and otherwise pro rata or by such other reasonable formula as the Manager adopts — and the allocation shall be recorded in the records maintained under Article 8.</w:t>
      </w:r>
    </w:p>
    <w:p>
      <w:pPr>
        <w:widowControl/>
        <w:spacing w:after="160"/>
        <w:jc w:val="both"/>
      </w:pPr>
      <w:r>
        <w:rPr>
          <w:rFonts w:ascii="Times New Roman" w:hAnsi="Times New Roman"/>
          <w:b/>
          <w:sz w:val="24"/>
          <w:szCs w:val="24"/>
        </w:rPr>
        <w:t xml:space="preserve">5.8 Statement of Authority.</w:t>
      </w:r>
      <w:r>
        <w:rPr>
          <w:rFonts w:ascii="Times New Roman" w:hAnsi="Times New Roman"/>
          <w:sz w:val="24"/>
          <w:szCs w:val="24"/>
        </w:rPr>
        <w:t xml:space="preserve"> With the consent of all Members required by Section 5.4(i), the Manager may cause the Company to file with the Department a statement of authority under s. 605.0302, Florida Statutes, stating the authority, or the limitations on the authority, of the Manager, of any Protected Series Manager, or of any person holding a specified position,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shall be amended or cancelled as necessary to keep it accurate. The limitations in Section 5.4 apply to the Manager whether or not a statement of authority is filed or recorded.</w:t>
      </w:r>
    </w:p>
    <w:p>
      <w:pPr>
        <w:keepNext/>
        <w:widowControl/>
        <w:spacing w:after="160"/>
        <w:jc w:val="both"/>
      </w:pPr>
      <w:r>
        <w:rPr>
          <w:rFonts w:ascii="Times New Roman" w:hAnsi="Times New Roman"/>
          <w:b/>
          <w:sz w:val="24"/>
          <w:szCs w:val="24"/>
        </w:rPr>
        <w:t xml:space="preserve">5.9 Competition; Other Activities of the Manager. [SELECT THE SAME ALTERNATIVE AS SECTION 4.7]</w:t>
      </w:r>
    </w:p>
    <w:p>
      <w:pPr>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the Manager shall not compete with the Company or with any Protected Series in the conduct of their activities and affairs. This Section does not prohibit the Manager from engaging in any business or venture that does not so compete, and neither the Company, any Protected Series, nor any Member shall have any right in such a venture or its income by virtue of this Agreement.</w:t>
      </w:r>
    </w:p>
    <w:p>
      <w:pPr>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The Manager may engage in and possess interests in other business ventures of every kind, whether or not competitive with the activities of the Company or of any Protected Series. Engaging in such ventures does not violate this Agreement or any duty under the Act, the Manager is not obligated to offer any business opportunity to the Company, any Protected Series, or any Member, and neither the Company, any Protected Series, nor any Member shall have any right in such ventures or their income by virtue of this Agreement. </w:t>
      </w:r>
      <w:r>
        <w:rPr>
          <w:rFonts w:ascii="Times New Roman" w:hAnsi="Times New Roman"/>
          <w:i/>
          <w:sz w:val="24"/>
          <w:szCs w:val="24"/>
        </w:rPr>
        <w:t xml:space="preserve">(Retain the Alternative selected in Section 4.7 and delete the other.)</w:t>
      </w:r>
    </w:p>
    <w:p>
      <w:pPr>
        <w:keepNext/>
        <w:widowControl/>
        <w:spacing w:before="240" w:after="200"/>
      </w:pPr>
      <w:r>
        <w:rPr>
          <w:rFonts w:ascii="Times New Roman" w:hAnsi="Times New Roman"/>
          <w:b/>
          <w:sz w:val="26"/>
          <w:szCs w:val="26"/>
        </w:rPr>
        <w:t xml:space="preserve">ARTICLE 6 — CAPITAL; CAPITAL ACCOUNTS</w:t>
      </w:r>
    </w:p>
    <w:p>
      <w:pPr>
        <w:widowControl/>
        <w:spacing w:after="160"/>
        <w:jc w:val="both"/>
      </w:pPr>
      <w:r>
        <w:rPr>
          <w:rFonts w:ascii="Times New Roman" w:hAnsi="Times New Roman"/>
          <w:b/>
          <w:sz w:val="24"/>
          <w:szCs w:val="24"/>
        </w:rPr>
        <w:t xml:space="preserve">6.1 Initial Contributions.</w:t>
      </w:r>
      <w:r>
        <w:rPr>
          <w:rFonts w:ascii="Times New Roman" w:hAnsi="Times New Roman"/>
          <w:sz w:val="24"/>
          <w:szCs w:val="24"/>
        </w:rPr>
        <w:t xml:space="preserve">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widowControl/>
        <w:spacing w:after="160"/>
        <w:jc w:val="both"/>
      </w:pPr>
      <w:r>
        <w:rPr>
          <w:rFonts w:ascii="Times New Roman" w:hAnsi="Times New Roman"/>
          <w:b/>
          <w:sz w:val="24"/>
          <w:szCs w:val="24"/>
        </w:rPr>
        <w:t xml:space="preserve">6.2 Additional Capital Contributions. [OPTIONAL PROVISION — include or omit; see Instructions]</w:t>
      </w:r>
      <w:r>
        <w:rPr>
          <w:rFonts w:ascii="Times New Roman" w:hAnsi="Times New Roman"/>
          <w:sz w:val="24"/>
          <w:szCs w:val="24"/>
        </w:rPr>
        <w:t xml:space="preserve">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w:t>
      </w:r>
      <w:r>
        <w:rPr>
          <w:rFonts w:ascii="Times New Roman" w:hAnsi="Times New Roman"/>
          <w:i/>
          <w:sz w:val="24"/>
          <w:szCs w:val="24"/>
        </w:rPr>
        <w:t xml:space="preserve">(To omit this provision, replace the text of this Section 6.2 and of Section 6.3 with "[Reserved.]" and replace Section 11.1(a) with "(a) [Reserved.]" — do not renumber any section. If omitted, no Member has any obligation to contribute capital beyond Section 6.1.)</w:t>
      </w:r>
    </w:p>
    <w:p>
      <w:pPr>
        <w:widowControl/>
        <w:spacing w:after="160"/>
        <w:jc w:val="both"/>
      </w:pPr>
      <w:r>
        <w:rPr>
          <w:rFonts w:ascii="Times New Roman" w:hAnsi="Times New Roman"/>
          <w:b/>
          <w:sz w:val="24"/>
          <w:szCs w:val="24"/>
        </w:rPr>
        <w:t xml:space="preserve">6.3 Failure to Contribute.</w:t>
      </w:r>
      <w:r>
        <w:rPr>
          <w:rFonts w:ascii="Times New Roman" w:hAnsi="Times New Roman"/>
          <w:sz w:val="24"/>
          <w:szCs w:val="24"/>
        </w:rPr>
        <w:t xml:space="preserv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widowControl/>
        <w:spacing w:after="160"/>
        <w:jc w:val="both"/>
      </w:pPr>
      <w:r>
        <w:rPr>
          <w:rFonts w:ascii="Times New Roman" w:hAnsi="Times New Roman"/>
          <w:b/>
          <w:sz w:val="24"/>
          <w:szCs w:val="24"/>
        </w:rPr>
        <w:t xml:space="preserve">6.4 No Interest; No Withdrawal.</w:t>
      </w:r>
      <w:r>
        <w:rPr>
          <w:rFonts w:ascii="Times New Roman" w:hAnsi="Times New Roman"/>
          <w:sz w:val="24"/>
          <w:szCs w:val="24"/>
        </w:rPr>
        <w:t xml:space="preserve"> No interest shall be paid on any contribution. No Member may withdraw or demand the return of any contribution except as this Agreement provides.</w:t>
      </w:r>
    </w:p>
    <w:p>
      <w:pPr>
        <w:widowControl/>
        <w:spacing w:after="160"/>
        <w:jc w:val="both"/>
      </w:pPr>
      <w:r>
        <w:rPr>
          <w:rFonts w:ascii="Times New Roman" w:hAnsi="Times New Roman"/>
          <w:b/>
          <w:sz w:val="24"/>
          <w:szCs w:val="24"/>
        </w:rPr>
        <w:t xml:space="preserve">6.5 Member Loans.</w:t>
      </w:r>
      <w:r>
        <w:rPr>
          <w:rFonts w:ascii="Times New Roman" w:hAnsi="Times New Roman"/>
          <w:sz w:val="24"/>
          <w:szCs w:val="24"/>
        </w:rPr>
        <w:t xml:space="preserve">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widowControl/>
        <w:spacing w:after="160"/>
        <w:jc w:val="both"/>
      </w:pPr>
      <w:r>
        <w:rPr>
          <w:rFonts w:ascii="Times New Roman" w:hAnsi="Times New Roman"/>
          <w:b/>
          <w:sz w:val="24"/>
          <w:szCs w:val="24"/>
        </w:rPr>
        <w:t xml:space="preserve">6.6 Capital Accounts.</w:t>
      </w:r>
      <w:r>
        <w:rPr>
          <w:rFonts w:ascii="Times New Roman" w:hAnsi="Times New Roman"/>
          <w:sz w:val="24"/>
          <w:szCs w:val="24"/>
        </w:rPr>
        <w:t xml:space="preserve"> A capital account shall be established and maintained for each Member reflecting the Member's capital in the Company. Capital accounts shall be maintained in accordance with the capital accounting rules of section 704(b) of the Internal Revenue Code of 1986, as amended (the "Code"), and the Treasury Regulations thereunder, and shall be credited with contributions and allocations of profit and debited with distributions and allocations of loss as so required. A transferee of all or part of a Membership Interest succeeds to the portion of the transferor's capital account (and sub-accounts) attributable to the transferred interest. Nothing in this Agreement creates a deficit restoration obligation or otherwise personally obligates any Member to contribute capital beyond the contributions required by Sections 6.1 and 6.2.</w:t>
      </w:r>
    </w:p>
    <w:p>
      <w:pPr>
        <w:widowControl/>
        <w:spacing w:after="160"/>
        <w:jc w:val="both"/>
      </w:pPr>
      <w:r>
        <w:rPr>
          <w:rFonts w:ascii="Times New Roman" w:hAnsi="Times New Roman"/>
          <w:b/>
          <w:sz w:val="24"/>
          <w:szCs w:val="24"/>
        </w:rPr>
        <w:t xml:space="preserve">6.7 No Right to Specific Property.</w:t>
      </w:r>
      <w:r>
        <w:rPr>
          <w:rFonts w:ascii="Times New Roman" w:hAnsi="Times New Roman"/>
          <w:sz w:val="24"/>
          <w:szCs w:val="24"/>
        </w:rPr>
        <w:t xml:space="preserve"> No Member has any right to demand or receive any distribution in any specific property of the Company or of any Protected Series.</w:t>
      </w:r>
    </w:p>
    <w:p>
      <w:pPr>
        <w:keepNext/>
        <w:widowControl/>
        <w:spacing w:before="240" w:after="200"/>
      </w:pPr>
      <w:r>
        <w:rPr>
          <w:rFonts w:ascii="Times New Roman" w:hAnsi="Times New Roman"/>
          <w:b/>
          <w:sz w:val="26"/>
          <w:szCs w:val="26"/>
        </w:rPr>
        <w:t xml:space="preserve">ARTICLE 7 — ALLOCATIONS AND DISTRIBUTIONS</w:t>
      </w:r>
    </w:p>
    <w:p>
      <w:pPr>
        <w:widowControl/>
        <w:spacing w:after="160"/>
        <w:jc w:val="both"/>
      </w:pPr>
      <w:r>
        <w:rPr>
          <w:rFonts w:ascii="Times New Roman" w:hAnsi="Times New Roman"/>
          <w:b/>
          <w:sz w:val="24"/>
          <w:szCs w:val="24"/>
        </w:rPr>
        <w:t xml:space="preserve">7.1 Allocations.</w:t>
      </w:r>
      <w:r>
        <w:rPr>
          <w:rFonts w:ascii="Times New Roman" w:hAnsi="Times New Roman"/>
          <w:sz w:val="24"/>
          <w:szCs w:val="24"/>
        </w:rPr>
        <w:t xml:space="preserve"> Profits, losses, and each item of income, gain, loss, deduction, and credit of each Protected Series shall be allocated to the Company as its sole owner, and those of the Company (exclusive of every Protected Series) shall be allocated among the Members in proportion to their Percentage Interests. Notwithstanding the foregoing, allocations shall be made in a manner consistent with the capital-account maintenance rules of section 704(b) of the Code and the Treasury Regulations thereunder — including, to the extent required, a qualified income offset, minimum-gain chargebacks, and limitations on loss allocations that would create or increase an impermissible deficit — and allocations with respect to property contributed with a value different from its adjusted basis shall be made in accordance with section 704(c) of the Code. The Manager shall apply this Section so that the allocations have substantial economic effect and shall resolve questions of application consistently and in good faith.</w:t>
      </w:r>
    </w:p>
    <w:p>
      <w:pPr>
        <w:widowControl/>
        <w:spacing w:after="160"/>
        <w:jc w:val="both"/>
      </w:pPr>
      <w:r>
        <w:rPr>
          <w:rFonts w:ascii="Times New Roman" w:hAnsi="Times New Roman"/>
          <w:b/>
          <w:sz w:val="24"/>
          <w:szCs w:val="24"/>
        </w:rPr>
        <w:t xml:space="preserve">7.2 Distributions.</w:t>
      </w:r>
      <w:r>
        <w:rPr>
          <w:rFonts w:ascii="Times New Roman" w:hAnsi="Times New Roman"/>
          <w:sz w:val="24"/>
          <w:szCs w:val="24"/>
        </w:rPr>
        <w:t xml:space="preserve"> The Manager (or, as to a Protected Series, its Protected Series Manager)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Members in proportion to their Percentage Interests. Each distribution shall be recorded in the records maintained under Article 8, identifying its source.</w:t>
      </w:r>
    </w:p>
    <w:p>
      <w:pPr>
        <w:widowControl/>
        <w:spacing w:after="160"/>
        <w:jc w:val="both"/>
      </w:pPr>
      <w:r>
        <w:rPr>
          <w:rFonts w:ascii="Times New Roman" w:hAnsi="Times New Roman"/>
          <w:b/>
          <w:sz w:val="24"/>
          <w:szCs w:val="24"/>
        </w:rPr>
        <w:t xml:space="preserve">7.3 Tax Distributions.</w:t>
      </w:r>
      <w:r>
        <w:rPr>
          <w:rFonts w:ascii="Times New Roman" w:hAnsi="Times New Roman"/>
          <w:sz w:val="24"/>
          <w:szCs w:val="24"/>
        </w:rPr>
        <w:t xml:space="preserve"> To the extent of available cash of the Company or the applicable Protected Series, the Manager may make distributions intended to enable each Member to satisfy federal and state income tax liabilities attributable to the Member's distributive share of income, and is authorized to pay any such amount directly to the government agency responsible for collection of the tax on the Member's behalf. A tax distribution funded from the Associated Assets of a Protected Series shall be made by that Protected Series to the Company and distributed by the Company to the Members, and is treated as an advance against later distributions under Section 7.2.</w:t>
      </w:r>
    </w:p>
    <w:p>
      <w:pPr>
        <w:keepNext/>
        <w:widowControl/>
        <w:spacing w:before="240" w:after="200"/>
      </w:pPr>
      <w:r>
        <w:rPr>
          <w:rFonts w:ascii="Times New Roman" w:hAnsi="Times New Roman"/>
          <w:b/>
          <w:sz w:val="26"/>
          <w:szCs w:val="26"/>
        </w:rPr>
        <w:t xml:space="preserve">ARTICLE 8 — RECORDS</w:t>
      </w:r>
    </w:p>
    <w:p>
      <w:pPr>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Manager shall maintain, for the Company and for each Protected Series, the records described in this Article. Members' inspection rights are as stated in Section 4.10.</w:t>
      </w:r>
    </w:p>
    <w:p>
      <w:pPr>
        <w:keepNext/>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Manager shall create and maintain, and shall cause each Protected Series Manager to create and maintain,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or the Manager other than under an arrangement documented under this Section.</w:t>
      </w:r>
    </w:p>
    <w:p>
      <w:pPr>
        <w:keepNext/>
        <w:widowControl/>
        <w:spacing w:after="160"/>
        <w:jc w:val="both"/>
      </w:pPr>
      <w:r>
        <w:rPr>
          <w:rFonts w:ascii="Times New Roman" w:hAnsi="Times New Roman"/>
          <w:b/>
          <w:sz w:val="24"/>
          <w:szCs w:val="24"/>
        </w:rPr>
        <w:t xml:space="preserve">8.5 Standing Association Rules; Savings Provisions.</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Manager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widowControl/>
        <w:spacing w:after="160"/>
        <w:jc w:val="both"/>
      </w:pPr>
      <w:r>
        <w:rPr>
          <w:rFonts w:ascii="Times New Roman" w:hAnsi="Times New Roman"/>
          <w:b/>
          <w:sz w:val="24"/>
          <w:szCs w:val="24"/>
        </w:rPr>
        <w:t xml:space="preserve">8.6 Movement of an Asset Between Protected Series.</w:t>
      </w:r>
      <w:r>
        <w:rPr>
          <w:rFonts w:ascii="Times New Roman" w:hAnsi="Times New Roman"/>
          <w:sz w:val="24"/>
          <w:szCs w:val="24"/>
        </w:rPr>
        <w:t xml:space="preserve">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Next/>
        <w:widowControl/>
        <w:spacing w:before="240" w:after="200"/>
      </w:pPr>
      <w:r>
        <w:rPr>
          <w:rFonts w:ascii="Times New Roman" w:hAnsi="Times New Roman"/>
          <w:b/>
          <w:sz w:val="26"/>
          <w:szCs w:val="26"/>
        </w:rPr>
        <w:t xml:space="preserve">ARTICLE 9 — TAX MATTERS</w:t>
      </w:r>
    </w:p>
    <w:p>
      <w:pPr>
        <w:widowControl/>
        <w:spacing w:after="160"/>
        <w:jc w:val="both"/>
      </w:pPr>
      <w:r>
        <w:rPr>
          <w:rFonts w:ascii="Times New Roman" w:hAnsi="Times New Roman"/>
          <w:b/>
          <w:sz w:val="24"/>
          <w:szCs w:val="24"/>
        </w:rPr>
        <w:t xml:space="preserve">9.1 Intended Classification.</w:t>
      </w:r>
      <w:r>
        <w:rPr>
          <w:rFonts w:ascii="Times New Roman" w:hAnsi="Times New Roman"/>
          <w:sz w:val="24"/>
          <w:szCs w:val="24"/>
        </w:rPr>
        <w:t xml:space="preserve"> It is intended that the Company be classified as a partnership for federal income tax purposes, as federal tax law provides.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w:t>
      </w:r>
    </w:p>
    <w:p>
      <w:pPr>
        <w:widowControl/>
        <w:spacing w:after="160"/>
        <w:jc w:val="both"/>
      </w:pPr>
      <w:r>
        <w:rPr>
          <w:rFonts w:ascii="Times New Roman" w:hAnsi="Times New Roman"/>
          <w:b/>
          <w:sz w:val="24"/>
          <w:szCs w:val="24"/>
        </w:rPr>
        <w:t xml:space="preserve">9.2 Tax Returns; Information.</w:t>
      </w:r>
      <w:r>
        <w:rPr>
          <w:rFonts w:ascii="Times New Roman" w:hAnsi="Times New Roman"/>
          <w:sz w:val="24"/>
          <w:szCs w:val="24"/>
        </w:rPr>
        <w:t xml:space="preserve"> The Manager shall cause to be prepared and filed all tax returns required of the Company and of each Protected Series, if necessary or required, and shall deliver to each Member, after the end of each fiscal year, the tax information (including Schedule K-1s, where applicable) necessary for the Member's returns.</w:t>
      </w:r>
    </w:p>
    <w:p>
      <w:pPr>
        <w:widowControl/>
        <w:spacing w:after="160"/>
        <w:jc w:val="both"/>
      </w:pPr>
      <w:r>
        <w:rPr>
          <w:rFonts w:ascii="Times New Roman" w:hAnsi="Times New Roman"/>
          <w:b/>
          <w:sz w:val="24"/>
          <w:szCs w:val="24"/>
        </w:rPr>
        <w:t xml:space="preserve">9.3 Partnership Representative.</w:t>
      </w:r>
      <w:r>
        <w:rPr>
          <w:rFonts w:ascii="Times New Roman" w:hAnsi="Times New Roman"/>
          <w:sz w:val="24"/>
          <w:szCs w:val="24"/>
        </w:rPr>
        <w:t xml:space="preserve"> The Manager (or a person the Manager designates) shall serve as the "partnership representative" within the meaning of section 6223 of the Code for the Company and for each Protected Series classified as a partnership, with all authority granted to a partnership representative under the Code, including the authority to make or revoke elections (including elections under sections 6221(b) and 6226 of the Code), to conduct and resolve audits and proceedings, and to bind the Members as the Code provides. Each Member shall provide the information, and take the actions, reasonably requested by the partnership representative in connection with any tax matter, and shall pay the Member's share of any imputed underpayment or similar amount attributable to the Member as reasonably determined by the partnership representative.</w:t>
      </w:r>
    </w:p>
    <w:p>
      <w:pPr>
        <w:widowControl/>
        <w:spacing w:after="160"/>
        <w:jc w:val="both"/>
      </w:pPr>
      <w:r>
        <w:rPr>
          <w:rFonts w:ascii="Times New Roman" w:hAnsi="Times New Roman"/>
          <w:b/>
          <w:sz w:val="24"/>
          <w:szCs w:val="24"/>
        </w:rPr>
        <w:t xml:space="preserve">9.4 Tax Elections.</w:t>
      </w:r>
      <w:r>
        <w:rPr>
          <w:rFonts w:ascii="Times New Roman" w:hAnsi="Times New Roman"/>
          <w:sz w:val="24"/>
          <w:szCs w:val="24"/>
        </w:rPr>
        <w:t xml:space="preserve"> The Manager may make, change, or revoke any tax election for the Company or any Protected Series (including an election under section 754 of the Code) that the Manager determines to be in the best interests of the Members as a whole.</w:t>
      </w:r>
    </w:p>
    <w:p>
      <w:pPr>
        <w:widowControl/>
        <w:spacing w:after="160"/>
        <w:jc w:val="both"/>
      </w:pPr>
      <w:r>
        <w:rPr>
          <w:rFonts w:ascii="Times New Roman" w:hAnsi="Times New Roman"/>
          <w:b/>
          <w:sz w:val="24"/>
          <w:szCs w:val="24"/>
        </w:rPr>
        <w:t xml:space="preserve">9.5 Fiscal Year.</w:t>
      </w:r>
      <w:r>
        <w:rPr>
          <w:rFonts w:ascii="Times New Roman" w:hAnsi="Times New Roman"/>
          <w:sz w:val="24"/>
          <w:szCs w:val="24"/>
        </w:rPr>
        <w:t xml:space="preserve"> The fiscal year of the Company and of each Protected Series is the calendar year unless the Manager selects another permitted year.</w:t>
      </w:r>
    </w:p>
    <w:p>
      <w:pPr>
        <w:keepNext/>
        <w:widowControl/>
        <w:spacing w:before="240" w:after="200"/>
      </w:pPr>
      <w:r>
        <w:rPr>
          <w:rFonts w:ascii="Times New Roman" w:hAnsi="Times New Roman"/>
          <w:b/>
          <w:sz w:val="26"/>
          <w:szCs w:val="26"/>
        </w:rPr>
        <w:t xml:space="preserve">ARTICLE 10 — TRANSFERS; CREDITOR PROVISIONS</w:t>
      </w:r>
    </w:p>
    <w:p>
      <w:pPr>
        <w:widowControl/>
        <w:spacing w:after="160"/>
        <w:jc w:val="both"/>
      </w:pPr>
      <w:r>
        <w:rPr>
          <w:rFonts w:ascii="Times New Roman" w:hAnsi="Times New Roman"/>
          <w:b/>
          <w:sz w:val="24"/>
          <w:szCs w:val="24"/>
        </w:rPr>
        <w:t xml:space="preserve">10.1 Restriction on Transfer.</w:t>
      </w:r>
      <w:r>
        <w:rPr>
          <w:rFonts w:ascii="Times New Roman" w:hAnsi="Times New Roman"/>
          <w:sz w:val="24"/>
          <w:szCs w:val="24"/>
        </w:rPr>
        <w:t xml:space="preserve">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4.11, or (c) another Transfer made with the prior written consent of the Manager and of a Majority in Interest of the Members other than the transferring Member. Any purported Transfer in violation of this Article is void to the fullest extent permitted by law, and the transferee acquires no rights other than those, if any, mandated by the Act.</w:t>
      </w:r>
    </w:p>
    <w:p>
      <w:pPr>
        <w:widowControl/>
        <w:spacing w:after="160"/>
        <w:jc w:val="both"/>
      </w:pPr>
      <w:r>
        <w:rPr>
          <w:rFonts w:ascii="Times New Roman" w:hAnsi="Times New Roman"/>
          <w:b/>
          <w:sz w:val="24"/>
          <w:szCs w:val="24"/>
        </w:rPr>
        <w:t xml:space="preserve">10.2 Permitted Family Transfers.</w:t>
      </w:r>
      <w:r>
        <w:rPr>
          <w:rFonts w:ascii="Times New Roman" w:hAnsi="Times New Roman"/>
          <w:sz w:val="24"/>
          <w:szCs w:val="24"/>
        </w:rPr>
        <w:t xml:space="preserve"> A Transfer of all or part of a Membership Interest to an Immediate Family Member of the transferring Member is permitted, provided the transferee delivers to the Company a signed agreement to be bound by this Agreement. The transferee holds the transferred interest as a transferee under Section 10.3 unless and until admitted as a Member under Section 12.1.</w:t>
      </w:r>
    </w:p>
    <w:p>
      <w:pPr>
        <w:widowControl/>
        <w:spacing w:after="160"/>
        <w:jc w:val="both"/>
      </w:pPr>
      <w:r>
        <w:rPr>
          <w:rFonts w:ascii="Times New Roman" w:hAnsi="Times New Roman"/>
          <w:b/>
          <w:sz w:val="24"/>
          <w:szCs w:val="24"/>
        </w:rPr>
        <w:t xml:space="preserve">10.3 Rights of Transferees.</w:t>
      </w:r>
      <w:r>
        <w:rPr>
          <w:rFonts w:ascii="Times New Roman" w:hAnsi="Times New Roman"/>
          <w:sz w:val="24"/>
          <w:szCs w:val="24"/>
        </w:rPr>
        <w:t xml:space="preserve">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widowControl/>
        <w:spacing w:after="160"/>
        <w:jc w:val="both"/>
      </w:pPr>
      <w:r>
        <w:rPr>
          <w:rFonts w:ascii="Times New Roman" w:hAnsi="Times New Roman"/>
          <w:b/>
          <w:sz w:val="24"/>
          <w:szCs w:val="24"/>
        </w:rPr>
        <w:t xml:space="preserve">10.4 Involuntary Transfers; Option to Acquire.</w:t>
      </w:r>
      <w:r>
        <w:rPr>
          <w:rFonts w:ascii="Times New Roman" w:hAnsi="Times New Roman"/>
          <w:sz w:val="24"/>
          <w:szCs w:val="24"/>
        </w:rPr>
        <w:t xml:space="preserve"> Upon any Involuntary Transfer or any event that would result in an Involuntary Transfer of all or part of a Membership Interest, the Company shall have the option, exercisable by the Manager at any time within ninety (90) days after the Company receives written notice that the Involuntary Transfer has occurred, to acquire the interest that is the subject of the Involuntary Transfer at its fair value. Fair value shall be the value agreed in writing between the Manager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the Manager,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w:t>
      </w:r>
    </w:p>
    <w:p>
      <w:pPr>
        <w:widowControl/>
        <w:spacing w:after="160"/>
        <w:jc w:val="both"/>
      </w:pPr>
      <w:r>
        <w:rPr>
          <w:rFonts w:ascii="Times New Roman" w:hAnsi="Times New Roman"/>
          <w:b/>
          <w:sz w:val="24"/>
          <w:szCs w:val="24"/>
        </w:rPr>
        <w:t xml:space="preserve">10.5 No Dissociation by Transfer Alone.</w:t>
      </w:r>
      <w:r>
        <w:rPr>
          <w:rFonts w:ascii="Times New Roman" w:hAnsi="Times New Roman"/>
          <w:sz w:val="24"/>
          <w:szCs w:val="24"/>
        </w:rPr>
        <w:t xml:space="preserve"> A Transfer does not by itself dissociate a Member or dissolve the Company or any Protected Series.</w:t>
      </w:r>
    </w:p>
    <w:p>
      <w:pPr>
        <w:widowControl/>
        <w:spacing w:after="160"/>
        <w:jc w:val="both"/>
      </w:pPr>
      <w:r>
        <w:rPr>
          <w:rFonts w:ascii="Times New Roman" w:hAnsi="Times New Roman"/>
          <w:b/>
          <w:sz w:val="24"/>
          <w:szCs w:val="24"/>
        </w:rPr>
        <w:t xml:space="preserve">10.6 Charging Order — Exclusive Remedy.</w:t>
      </w:r>
      <w:r>
        <w:rPr>
          <w:rFonts w:ascii="Times New Roman" w:hAnsi="Times New Roman"/>
          <w:sz w:val="24"/>
          <w:szCs w:val="24"/>
        </w:rPr>
        <w:t xml:space="preserve">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Next/>
        <w:widowControl/>
        <w:spacing w:before="240" w:after="200"/>
      </w:pPr>
      <w:r>
        <w:rPr>
          <w:rFonts w:ascii="Times New Roman" w:hAnsi="Times New Roman"/>
          <w:b/>
          <w:sz w:val="26"/>
          <w:szCs w:val="26"/>
        </w:rPr>
        <w:t xml:space="preserve">ARTICLE 11 — EXECUTORY CONTRACT</w:t>
      </w:r>
    </w:p>
    <w:p>
      <w:pPr>
        <w:widowControl/>
        <w:spacing w:after="160"/>
        <w:jc w:val="both"/>
      </w:pPr>
      <w:r>
        <w:rPr>
          <w:rFonts w:ascii="Times New Roman" w:hAnsi="Times New Roman"/>
          <w:b/>
          <w:sz w:val="24"/>
          <w:szCs w:val="24"/>
        </w:rPr>
        <w:t xml:space="preserve">11.1 Executory Contract.</w:t>
      </w:r>
      <w:r>
        <w:rPr>
          <w:rFonts w:ascii="Times New Roman" w:hAnsi="Times New Roman"/>
          <w:sz w:val="24"/>
          <w:szCs w:val="24"/>
        </w:rPr>
        <w:t xml:space="preserve">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w:t>
      </w:r>
      <w:r>
        <w:rPr>
          <w:rFonts w:ascii="Times New Roman" w:hAnsi="Times New Roman"/>
          <w:i/>
          <w:sz w:val="24"/>
          <w:szCs w:val="24"/>
        </w:rPr>
        <w:t xml:space="preserve">[include only if optional Section 6.2 is included; otherwise replace with "(a) [Reserved.]"]</w:t>
      </w:r>
      <w:r>
        <w:rPr>
          <w:rFonts w:ascii="Times New Roman" w:hAnsi="Times New Roman"/>
          <w:sz w:val="24"/>
          <w:szCs w:val="24"/>
        </w:rPr>
        <w:t xml:space="preserve">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w:t>
      </w:r>
      <w:r>
        <w:rPr>
          <w:rFonts w:ascii="Times New Roman" w:hAnsi="Times New Roman"/>
          <w:i/>
          <w:sz w:val="24"/>
          <w:szCs w:val="24"/>
        </w:rPr>
        <w:t xml:space="preserve">[include only if Section 4.7 Alternative A is selected; otherwise replace with "(c) [Reserved.]"]</w:t>
      </w:r>
      <w:r>
        <w:rPr>
          <w:rFonts w:ascii="Times New Roman" w:hAnsi="Times New Roman"/>
          <w:sz w:val="24"/>
          <w:szCs w:val="24"/>
        </w:rPr>
        <w:t xml:space="preserve">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widowControl/>
        <w:spacing w:after="160"/>
        <w:jc w:val="both"/>
      </w:pPr>
      <w:r>
        <w:rPr>
          <w:rFonts w:ascii="Times New Roman" w:hAnsi="Times New Roman"/>
          <w:b/>
          <w:sz w:val="24"/>
          <w:szCs w:val="24"/>
        </w:rPr>
        <w:t xml:space="preserve">11.2 Personal Service Agreement; No Assumption or Assignment.</w:t>
      </w:r>
      <w:r>
        <w:rPr>
          <w:rFonts w:ascii="Times New Roman" w:hAnsi="Times New Roman"/>
          <w:sz w:val="24"/>
          <w:szCs w:val="24"/>
        </w:rPr>
        <w:t xml:space="preserve"> In accordance with </w:t>
      </w:r>
      <w:r>
        <w:rPr>
          <w:rFonts w:ascii="Times New Roman" w:hAnsi="Times New Roman"/>
          <w:i/>
          <w:sz w:val="24"/>
          <w:szCs w:val="24"/>
        </w:rPr>
        <w:t xml:space="preserve">In re Soderstrom</w:t>
      </w:r>
      <w:r>
        <w:rPr>
          <w:rFonts w:ascii="Times New Roman" w:hAnsi="Times New Roman"/>
          <w:sz w:val="24"/>
          <w:szCs w:val="24"/>
        </w:rPr>
        <w:t xml:space="preserve">, 484 B.R. 874 (M.D. Fla. 2013), this Agreement is a personal service agreement due to the managerial and governance duties and obligations owed by each Member and the Manager, and a bankruptcy trustee cannot assume or assign a debtor Member's interest in the Company in accordance with 11 U.S.C. §365(c)(1) without the prior written consent of the other Members.</w:t>
      </w:r>
    </w:p>
    <w:p>
      <w:pPr>
        <w:widowControl/>
        <w:spacing w:after="160"/>
        <w:jc w:val="both"/>
      </w:pPr>
      <w:r>
        <w:rPr>
          <w:rFonts w:ascii="Times New Roman" w:hAnsi="Times New Roman"/>
          <w:b/>
          <w:sz w:val="24"/>
          <w:szCs w:val="24"/>
        </w:rPr>
        <w:t xml:space="preserve">11.3 Compliance upon Assumption or Rejection.</w:t>
      </w:r>
      <w:r>
        <w:rPr>
          <w:rFonts w:ascii="Times New Roman" w:hAnsi="Times New Roman"/>
          <w:sz w:val="24"/>
          <w:szCs w:val="24"/>
        </w:rPr>
        <w:t xml:space="preserve">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Next/>
        <w:widowControl/>
        <w:spacing w:before="240" w:after="200"/>
      </w:pPr>
      <w:r>
        <w:rPr>
          <w:rFonts w:ascii="Times New Roman" w:hAnsi="Times New Roman"/>
          <w:b/>
          <w:sz w:val="26"/>
          <w:szCs w:val="26"/>
        </w:rPr>
        <w:t xml:space="preserve">ARTICLE 12 — ADMISSION OF MEMBERS; ASSOCIATION WITH PROTECTED SERIES</w:t>
      </w:r>
    </w:p>
    <w:p>
      <w:pPr>
        <w:widowControl/>
        <w:spacing w:after="160"/>
        <w:jc w:val="both"/>
      </w:pPr>
      <w:r>
        <w:rPr>
          <w:rFonts w:ascii="Times New Roman" w:hAnsi="Times New Roman"/>
          <w:b/>
          <w:sz w:val="24"/>
          <w:szCs w:val="24"/>
        </w:rPr>
        <w:t xml:space="preserve">12.1 Admission of Members.</w:t>
      </w:r>
      <w:r>
        <w:rPr>
          <w:rFonts w:ascii="Times New Roman" w:hAnsi="Times New Roman"/>
          <w:sz w:val="24"/>
          <w:szCs w:val="24"/>
        </w:rPr>
        <w:t xml:space="preserve"> A person may be admitted as a Member of the Company only with the written consent of </w:t>
      </w:r>
      <w:r>
        <w:rPr>
          <w:rFonts w:ascii="Times New Roman" w:hAnsi="Times New Roman"/>
          <w:b/>
          <w:sz w:val="24"/>
          <w:szCs w:val="24"/>
        </w:rPr>
        <w:t xml:space="preserve">all</w:t>
      </w:r>
      <w:r>
        <w:rPr>
          <w:rFonts w:ascii="Times New Roman" w:hAnsi="Times New Roman"/>
          <w:sz w:val="24"/>
          <w:szCs w:val="24"/>
        </w:rPr>
        <w:t xml:space="preserve"> Members and upon the person's delivery of a signed agreement to be bound by this Agreement, except that (a) a TOD beneficiary is admitted as provided in Section 4.11, and (b) a permitted family transferee under Section 10.2 may be admitted with the written consent of a Majority in Interest of the Members other than the transferor.</w:t>
      </w:r>
    </w:p>
    <w:p>
      <w:pPr>
        <w:widowControl/>
        <w:spacing w:after="160"/>
        <w:jc w:val="both"/>
      </w:pPr>
      <w:r>
        <w:rPr>
          <w:rFonts w:ascii="Times New Roman" w:hAnsi="Times New Roman"/>
          <w:b/>
          <w:sz w:val="24"/>
          <w:szCs w:val="24"/>
        </w:rPr>
        <w:t xml:space="preserve">12.2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w:t>
      </w:r>
    </w:p>
    <w:p>
      <w:pPr>
        <w:widowControl/>
        <w:spacing w:after="160"/>
        <w:jc w:val="both"/>
      </w:pPr>
      <w:r>
        <w:rPr>
          <w:rFonts w:ascii="Times New Roman" w:hAnsi="Times New Roman"/>
          <w:b/>
          <w:sz w:val="24"/>
          <w:szCs w:val="24"/>
        </w:rPr>
        <w:t xml:space="preserve">12.3 Continuation on Termination of Last Member.</w:t>
      </w:r>
      <w:r>
        <w:rPr>
          <w:rFonts w:ascii="Times New Roman" w:hAnsi="Times New Roman"/>
          <w:sz w:val="24"/>
          <w:szCs w:val="24"/>
        </w:rPr>
        <w:t xml:space="preserve">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widowControl/>
        <w:spacing w:before="240" w:after="200"/>
      </w:pPr>
      <w:r>
        <w:rPr>
          <w:rFonts w:ascii="Times New Roman" w:hAnsi="Times New Roman"/>
          <w:b/>
          <w:sz w:val="26"/>
          <w:szCs w:val="26"/>
        </w:rPr>
        <w:t xml:space="preserve">ARTICLE 13 — WITHDRAWAL; DEADLOCK</w:t>
      </w:r>
    </w:p>
    <w:p>
      <w:pPr>
        <w:widowControl/>
        <w:spacing w:after="160"/>
        <w:jc w:val="both"/>
      </w:pPr>
      <w:r>
        <w:rPr>
          <w:rFonts w:ascii="Times New Roman" w:hAnsi="Times New Roman"/>
          <w:b/>
          <w:sz w:val="24"/>
          <w:szCs w:val="24"/>
        </w:rPr>
        <w:t xml:space="preserve">13.1 No Voluntary Withdrawal.</w:t>
      </w:r>
      <w:r>
        <w:rPr>
          <w:rFonts w:ascii="Times New Roman" w:hAnsi="Times New Roman"/>
          <w:sz w:val="24"/>
          <w:szCs w:val="24"/>
        </w:rPr>
        <w:t xml:space="preserve">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Next/>
        <w:widowControl/>
        <w:spacing w:after="160"/>
        <w:jc w:val="both"/>
      </w:pPr>
      <w:r>
        <w:rPr>
          <w:rFonts w:ascii="Times New Roman" w:hAnsi="Times New Roman"/>
          <w:b/>
          <w:sz w:val="24"/>
          <w:szCs w:val="24"/>
        </w:rPr>
        <w:t xml:space="preserve">13.2 Deadlock; Buy-Sell Election. [OPTIONAL PROVISION — see Instructions; to omit, replace the text of this Section with "[Reserved.]" — do not renumber]</w:t>
      </w:r>
    </w:p>
    <w:p>
      <w:pPr>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Next/>
        <w:widowControl/>
        <w:spacing w:before="240" w:after="200"/>
      </w:pPr>
      <w:r>
        <w:rPr>
          <w:rFonts w:ascii="Times New Roman" w:hAnsi="Times New Roman"/>
          <w:b/>
          <w:sz w:val="26"/>
          <w:szCs w:val="26"/>
        </w:rPr>
        <w:t xml:space="preserve">ARTICLE 14 — DISSOLUTION AND WINDING UP</w:t>
      </w:r>
    </w:p>
    <w:p>
      <w:pPr>
        <w:widowControl/>
        <w:spacing w:after="160"/>
        <w:jc w:val="both"/>
      </w:pPr>
      <w:r>
        <w:rPr>
          <w:rFonts w:ascii="Times New Roman" w:hAnsi="Times New Roman"/>
          <w:b/>
          <w:sz w:val="24"/>
          <w:szCs w:val="24"/>
        </w:rPr>
        <w:t xml:space="preserve">14.1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widowControl/>
        <w:spacing w:after="160"/>
        <w:jc w:val="both"/>
      </w:pPr>
      <w:r>
        <w:rPr>
          <w:rFonts w:ascii="Times New Roman" w:hAnsi="Times New Roman"/>
          <w:b/>
          <w:sz w:val="24"/>
          <w:szCs w:val="24"/>
        </w:rPr>
        <w:t xml:space="preserve">14.2 Winding Up a Protected Series.</w:t>
      </w:r>
      <w:r>
        <w:rPr>
          <w:rFonts w:ascii="Times New Roman" w:hAnsi="Times New Roman"/>
          <w:sz w:val="24"/>
          <w:szCs w:val="24"/>
        </w:rPr>
        <w:t xml:space="preserve"> Upon dissolution of a Protected Series, its Protected Series Manager (or another person designated by a Majority in Interest)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next, to the Company to the extent of their capital sub-account balances for that Protected Series; and finally, the balance to the Company. The Manager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widowControl/>
        <w:spacing w:after="160"/>
        <w:jc w:val="both"/>
      </w:pPr>
      <w:r>
        <w:rPr>
          <w:rFonts w:ascii="Times New Roman" w:hAnsi="Times New Roman"/>
          <w:b/>
          <w:sz w:val="24"/>
          <w:szCs w:val="24"/>
        </w:rPr>
        <w:t xml:space="preserve">14.3 Dissolution of the Company.</w:t>
      </w:r>
      <w:r>
        <w:rPr>
          <w:rFonts w:ascii="Times New Roman" w:hAnsi="Times New Roman"/>
          <w:sz w:val="24"/>
          <w:szCs w:val="24"/>
        </w:rPr>
        <w:t xml:space="preserve"> The Company is dissolved, and its activities and affairs shall be wound up, upon the first to occur of: (a) the written consent of </w:t>
      </w:r>
      <w:r>
        <w:rPr>
          <w:rFonts w:ascii="Times New Roman" w:hAnsi="Times New Roman"/>
          <w:b/>
          <w:sz w:val="24"/>
          <w:szCs w:val="24"/>
        </w:rPr>
        <w:t xml:space="preserve">all</w:t>
      </w:r>
      <w:r>
        <w:rPr>
          <w:rFonts w:ascii="Times New Roman" w:hAnsi="Times New Roman"/>
          <w:sz w:val="24"/>
          <w:szCs w:val="24"/>
        </w:rPr>
        <w:t xml:space="preserve">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widowControl/>
        <w:spacing w:after="160"/>
        <w:jc w:val="both"/>
      </w:pPr>
      <w:r>
        <w:rPr>
          <w:rFonts w:ascii="Times New Roman" w:hAnsi="Times New Roman"/>
          <w:b/>
          <w:sz w:val="24"/>
          <w:szCs w:val="24"/>
        </w:rPr>
        <w:t xml:space="preserve">14.4 Winding Up the Company.</w:t>
      </w:r>
      <w:r>
        <w:rPr>
          <w:rFonts w:ascii="Times New Roman" w:hAnsi="Times New Roman"/>
          <w:sz w:val="24"/>
          <w:szCs w:val="24"/>
        </w:rPr>
        <w:t xml:space="preserve"> Upon dissolution of the Company, the Manager (or, if there is none,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next, to the Members to the extent of their capital sub-account balances for the Company; and finally, the balance to the Members in proportion to their Percentage Interests. Articles of dissolution shall be filed as the Act requires, and the Company shall terminate when winding up is complete.</w:t>
      </w:r>
    </w:p>
    <w:p>
      <w:pPr>
        <w:widowControl/>
        <w:spacing w:after="160"/>
        <w:jc w:val="both"/>
      </w:pPr>
      <w:r>
        <w:rPr>
          <w:rFonts w:ascii="Times New Roman" w:hAnsi="Times New Roman"/>
          <w:b/>
          <w:sz w:val="24"/>
          <w:szCs w:val="24"/>
        </w:rPr>
        <w:t xml:space="preserve">14.5 No Deficit Obligation; Recourse Limited.</w:t>
      </w:r>
      <w:r>
        <w:rPr>
          <w:rFonts w:ascii="Times New Roman" w:hAnsi="Times New Roman"/>
          <w:sz w:val="24"/>
          <w:szCs w:val="24"/>
        </w:rPr>
        <w:t xml:space="preserve"> No Member shall have any obligation to restore any deficit or to contribute capital in connection with any winding up (beyond unpaid contributions duly required under Sections 6.1 and 6.2), and each creditor of the Company or of any Protected Series shall look solely to the Associated Assets of its obligor.</w:t>
      </w:r>
    </w:p>
    <w:p>
      <w:pPr>
        <w:keepNext/>
        <w:widowControl/>
        <w:spacing w:before="240" w:after="200"/>
      </w:pPr>
      <w:r>
        <w:rPr>
          <w:rFonts w:ascii="Times New Roman" w:hAnsi="Times New Roman"/>
          <w:b/>
          <w:sz w:val="26"/>
          <w:szCs w:val="26"/>
        </w:rPr>
        <w:t xml:space="preserve">ARTICLE 15 — AMENDMENTS; CONSENTS</w:t>
      </w:r>
    </w:p>
    <w:p>
      <w:pPr>
        <w:widowControl/>
        <w:spacing w:after="160"/>
        <w:jc w:val="both"/>
      </w:pPr>
      <w:r>
        <w:rPr>
          <w:rFonts w:ascii="Times New Roman" w:hAnsi="Times New Roman"/>
          <w:b/>
          <w:sz w:val="24"/>
          <w:szCs w:val="24"/>
        </w:rPr>
        <w:t xml:space="preserve">15.1 Amendments.</w:t>
      </w:r>
      <w:r>
        <w:rPr>
          <w:rFonts w:ascii="Times New Roman" w:hAnsi="Times New Roman"/>
          <w:sz w:val="24"/>
          <w:szCs w:val="24"/>
        </w:rPr>
        <w:t xml:space="preserve"> This Agreement may be amended only by a written instrument signed by </w:t>
      </w:r>
      <w:r>
        <w:rPr>
          <w:rFonts w:ascii="Times New Roman" w:hAnsi="Times New Roman"/>
          <w:b/>
          <w:sz w:val="24"/>
          <w:szCs w:val="24"/>
        </w:rPr>
        <w:t xml:space="preserve">all</w:t>
      </w:r>
      <w:r>
        <w:rPr>
          <w:rFonts w:ascii="Times New Roman" w:hAnsi="Times New Roman"/>
          <w:sz w:val="24"/>
          <w:szCs w:val="24"/>
        </w:rPr>
        <w:t xml:space="preserve"> Members; provided, that (a) a Series Exhibit may be amended by a written instrument signed by the Manager, except that an amendment that would alter the rights or obligations of any Member under this Agreement requires the signature of every Member; (b) the Manager may amend Exhibit A and the Series Exhibits without further consent solely to record changes duly made under this Agreement (admissions, Transfers, TOD designations, capital adjustments under Section 6.3); and (c) no amendment may impose new obligations on the Manager without the Manager's written consent. Oral, implied, or course-of-dealing amendments are of no effect.</w:t>
      </w:r>
    </w:p>
    <w:p>
      <w:pPr>
        <w:widowControl/>
        <w:spacing w:after="160"/>
        <w:jc w:val="both"/>
      </w:pPr>
      <w:r>
        <w:rPr>
          <w:rFonts w:ascii="Times New Roman" w:hAnsi="Times New Roman"/>
          <w:b/>
          <w:sz w:val="24"/>
          <w:szCs w:val="24"/>
        </w:rPr>
        <w:t xml:space="preserve">15.2 Action by Written Consent.</w:t>
      </w:r>
      <w:r>
        <w:rPr>
          <w:rFonts w:ascii="Times New Roman" w:hAnsi="Times New Roman"/>
          <w:sz w:val="24"/>
          <w:szCs w:val="24"/>
        </w:rPr>
        <w:t xml:space="preserve"> Any action of the Members under this Agreement may be taken by written consent as provided in Section 4.4.</w:t>
      </w:r>
    </w:p>
    <w:p>
      <w:pPr>
        <w:keepNext/>
        <w:widowControl/>
        <w:spacing w:before="240" w:after="200"/>
      </w:pPr>
      <w:r>
        <w:rPr>
          <w:rFonts w:ascii="Times New Roman" w:hAnsi="Times New Roman"/>
          <w:b/>
          <w:sz w:val="26"/>
          <w:szCs w:val="26"/>
        </w:rPr>
        <w:t xml:space="preserve">ARTICLE 16 — MISCELLANEOUS</w:t>
      </w:r>
    </w:p>
    <w:p>
      <w:pPr>
        <w:widowControl/>
        <w:spacing w:after="160"/>
        <w:jc w:val="both"/>
      </w:pPr>
      <w:r>
        <w:rPr>
          <w:rFonts w:ascii="Times New Roman" w:hAnsi="Times New Roman"/>
          <w:b/>
          <w:sz w:val="24"/>
          <w:szCs w:val="24"/>
        </w:rPr>
        <w:t xml:space="preserve">16.1 Governing Law; Internal Affairs.</w:t>
      </w:r>
      <w:r>
        <w:rPr>
          <w:rFonts w:ascii="Times New Roman" w:hAnsi="Times New Roman"/>
          <w:sz w:val="24"/>
          <w:szCs w:val="24"/>
        </w:rPr>
        <w:t xml:space="preserve"> This Agreement, the internal affairs of the Company and of each Protected Series, and the relations among the Members, the Manager, each Protected Series Manager, the Company, and each Protected Series, are governed by the laws of the State of Florida, without regard to conflict-of-laws principles.</w:t>
      </w:r>
    </w:p>
    <w:p>
      <w:pPr>
        <w:widowControl/>
        <w:spacing w:after="160"/>
        <w:jc w:val="both"/>
      </w:pPr>
      <w:r>
        <w:rPr>
          <w:rFonts w:ascii="Times New Roman" w:hAnsi="Times New Roman"/>
          <w:b/>
          <w:sz w:val="24"/>
          <w:szCs w:val="24"/>
        </w:rPr>
        <w:t xml:space="preserve">16.2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widowControl/>
        <w:spacing w:after="160"/>
        <w:jc w:val="both"/>
      </w:pPr>
      <w:r>
        <w:rPr>
          <w:rFonts w:ascii="Times New Roman" w:hAnsi="Times New Roman"/>
          <w:b/>
          <w:sz w:val="24"/>
          <w:szCs w:val="24"/>
        </w:rPr>
        <w:t xml:space="preserve">16.3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widowControl/>
        <w:spacing w:after="160"/>
        <w:jc w:val="both"/>
      </w:pPr>
      <w:r>
        <w:rPr>
          <w:rFonts w:ascii="Times New Roman" w:hAnsi="Times New Roman"/>
          <w:b/>
          <w:sz w:val="24"/>
          <w:szCs w:val="24"/>
        </w:rPr>
        <w:t xml:space="preserve">16.4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widowControl/>
        <w:spacing w:after="160"/>
        <w:jc w:val="both"/>
      </w:pPr>
      <w:r>
        <w:rPr>
          <w:rFonts w:ascii="Times New Roman" w:hAnsi="Times New Roman"/>
          <w:b/>
          <w:sz w:val="24"/>
          <w:szCs w:val="24"/>
        </w:rPr>
        <w:t xml:space="preserve">16.5 Binding Effect.</w:t>
      </w:r>
      <w:r>
        <w:rPr>
          <w:rFonts w:ascii="Times New Roman" w:hAnsi="Times New Roman"/>
          <w:sz w:val="24"/>
          <w:szCs w:val="24"/>
        </w:rPr>
        <w:t xml:space="preserve"> This Agreement binds and benefits the Members, the Manager, and their respective heirs, personal representatives, successors, and permitted assigns, and any person who acquires an interest in the Company or is admitted as a member.</w:t>
      </w:r>
    </w:p>
    <w:p>
      <w:pPr>
        <w:widowControl/>
        <w:spacing w:after="160"/>
        <w:jc w:val="both"/>
      </w:pPr>
      <w:r>
        <w:rPr>
          <w:rFonts w:ascii="Times New Roman" w:hAnsi="Times New Roman"/>
          <w:b/>
          <w:sz w:val="24"/>
          <w:szCs w:val="24"/>
        </w:rPr>
        <w:t xml:space="preserve">16.6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widowControl/>
        <w:spacing w:after="160"/>
        <w:jc w:val="both"/>
      </w:pPr>
      <w:r>
        <w:rPr>
          <w:rFonts w:ascii="Times New Roman" w:hAnsi="Times New Roman"/>
          <w:b/>
          <w:sz w:val="24"/>
          <w:szCs w:val="24"/>
        </w:rPr>
        <w:t xml:space="preserve">16.7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widowControl/>
        <w:spacing w:after="160"/>
        <w:jc w:val="both"/>
      </w:pPr>
      <w:r>
        <w:rPr>
          <w:rFonts w:ascii="Times New Roman" w:hAnsi="Times New Roman"/>
          <w:b/>
          <w:sz w:val="24"/>
          <w:szCs w:val="24"/>
        </w:rPr>
        <w:t xml:space="preserve">16.8 No Third-Party Beneficiaries.</w:t>
      </w:r>
      <w:r>
        <w:rPr>
          <w:rFonts w:ascii="Times New Roman" w:hAnsi="Times New Roman"/>
          <w:sz w:val="24"/>
          <w:szCs w:val="24"/>
        </w:rPr>
        <w:t xml:space="preserve"> This Agreement is for the exclusive benefit of the parties and confers no rights on any creditor or other third party.</w:t>
      </w:r>
    </w:p>
    <w:p>
      <w:pPr>
        <w:widowControl/>
        <w:spacing w:after="160"/>
        <w:jc w:val="both"/>
      </w:pPr>
      <w:r>
        <w:rPr>
          <w:rFonts w:ascii="Times New Roman" w:hAnsi="Times New Roman"/>
          <w:b/>
          <w:sz w:val="24"/>
          <w:szCs w:val="24"/>
        </w:rPr>
        <w:t xml:space="preserve">16.9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widowControl/>
        <w:spacing w:after="160"/>
        <w:jc w:val="both"/>
      </w:pPr>
      <w:r>
        <w:rPr>
          <w:rFonts w:ascii="Times New Roman" w:hAnsi="Times New Roman"/>
          <w:b/>
          <w:sz w:val="24"/>
          <w:szCs w:val="24"/>
        </w:rPr>
        <w:t xml:space="preserve">16.10 Unregistered Interests.</w:t>
      </w:r>
      <w:r>
        <w:rPr>
          <w:rFonts w:ascii="Times New Roman" w:hAnsi="Times New Roman"/>
          <w:sz w:val="24"/>
          <w:szCs w:val="24"/>
        </w:rPr>
        <w:t xml:space="preserve"> The Membership Interests have not been registered under federal or state securities laws and may not be offered, sold, or transferred except in compliance with this Agreement and applicable law.</w:t>
      </w:r>
    </w:p>
    <w:p>
      <w:pPr>
        <w:pageBreakBefore/>
        <w:keepNext/>
        <w:widowControl/>
        <w:spacing w:before="240" w:after="200"/>
      </w:pPr>
      <w:r>
        <w:rPr>
          <w:rFonts w:ascii="Times New Roman" w:hAnsi="Times New Roman"/>
          <w:b/>
          <w:sz w:val="26"/>
          <w:szCs w:val="26"/>
        </w:rPr>
        <w:t xml:space="preserve">SIGNATURES</w:t>
      </w:r>
    </w:p>
    <w:p>
      <w:pPr>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Next/>
        <w:widowControl/>
        <w:spacing w:after="160"/>
        <w:jc w:val="both"/>
      </w:pPr>
      <w:r>
        <w:rPr>
          <w:rFonts w:ascii="Times New Roman" w:hAnsi="Times New Roman"/>
          <w:b/>
          <w:sz w:val="24"/>
          <w:szCs w:val="24"/>
        </w:rPr>
        <w:t xml:space="preserve">MEMBERS:</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[SIGNATORY NAME]</w:t>
      </w:r>
    </w:p>
    <w:p>
      <w:pPr>
        <w:keepNext/>
        <w:widowControl/>
        <w:spacing w:after="160"/>
        <w:jc w:val="both"/>
      </w:pPr>
      <w:r>
        <w:rPr>
          <w:rFonts w:ascii="Times New Roman" w:hAnsi="Times New Roman"/>
          <w:b/>
          <w:sz w:val="24"/>
          <w:szCs w:val="24"/>
        </w:rPr>
        <w:t xml:space="preserve">ACKNOWLEDGED AND AGREED BY MANAGER:</w:t>
      </w:r>
      <w:r>
        <w:rPr>
          <w:rFonts w:ascii="Times New Roman" w:hAnsi="Times New Roman"/>
          <w:b/>
          <w:sz w:val="24"/>
          <w:szCs w:val="24"/>
        </w:rPr>
        <w:t xml:space="preserve">ACKNOWLEDGED AND AGREED BY MANAGERS:</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[MANAGER NAME], Manager</w:t>
      </w:r>
    </w:p>
    <w:p>
      <w:pPr>
        <w:pageBreakBefore/>
        <w:keepNext/>
        <w:widowControl/>
        <w:spacing w:before="240" w:after="200"/>
      </w:pPr>
      <w:r>
        <w:rPr>
          <w:rFonts w:ascii="Times New Roman" w:hAnsi="Times New Roman"/>
          <w:b/>
          <w:sz w:val="26"/>
          <w:szCs w:val="26"/>
        </w:rPr>
        <w:t xml:space="preserve">EXHIBIT A — MEMBERS; PERCENTAGE INTERESTS; CONTRIBUTIONS; TOD DESIGNATIONS</w:t>
      </w:r>
    </w:p>
    <w:p>
      <w:pPr>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rPr>
          <w:tblHeade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Member name</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Percentage Interest</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Initial contribution to the Company</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 [MEMBER NAME] as [HOLDING] | [MEMBER ADDRESS] | [MEMBER SHARE] | [MEMBER CONTRIBUTION] | [MEMBER DATE] |</w:t>
      </w:r>
    </w:p>
    <w:p>
      <w:pPr>
        <w:widowControl/>
        <w:spacing w:after="160"/>
        <w:jc w:val="both"/>
      </w:pPr>
      <w:r>
        <w:rPr>
          <w:rFonts w:ascii="Times New Roman" w:hAnsi="Times New Roman"/>
          <w:sz w:val="24"/>
          <w:szCs w:val="24"/>
        </w:rPr>
        <w:t xml:space="preserve">| </w:t>
      </w:r>
      <w:r>
        <w:rPr>
          <w:rFonts w:ascii="Times New Roman" w:hAnsi="Times New Roman"/>
          <w:b/>
          <w:sz w:val="24"/>
          <w:szCs w:val="24"/>
        </w:rPr>
        <w:t xml:space="preserve">Total</w:t>
      </w:r>
      <w:r>
        <w:rPr>
          <w:rFonts w:ascii="Times New Roman" w:hAnsi="Times New Roman"/>
          <w:sz w:val="24"/>
          <w:szCs w:val="24"/>
        </w:rPr>
        <w:t xml:space="preserve"> | | </w:t>
      </w:r>
      <w:r>
        <w:rPr>
          <w:rFonts w:ascii="Times New Roman" w:hAnsi="Times New Roman"/>
          <w:b/>
          <w:sz w:val="24"/>
          <w:szCs w:val="24"/>
        </w:rPr>
        <w:t xml:space="preserve">100%</w:t>
      </w:r>
      <w:r>
        <w:rPr>
          <w:rFonts w:ascii="Times New Roman" w:hAnsi="Times New Roman"/>
          <w:sz w:val="24"/>
          <w:szCs w:val="24"/>
        </w:rPr>
        <w:t xml:space="preserve"> | | |</w:t>
      </w:r>
    </w:p>
    <w:p>
      <w:pPr>
        <w:keepNext/>
        <w:widowControl/>
        <w:spacing w:after="160"/>
        <w:jc w:val="both"/>
      </w:pPr>
      <w:r>
        <w:rPr>
          <w:rFonts w:ascii="Times New Roman" w:hAnsi="Times New Roman"/>
          <w:b/>
          <w:sz w:val="24"/>
          <w:szCs w:val="24"/>
        </w:rPr>
        <w:t xml:space="preserve">Transfer on Death designations (ss. 711.50–711.512, Fla. Stat.):</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Designating Member</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TOD beneficiary (any person or entity)</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 [MEMBER NAME] | [MEMBER TOD] |</w:t>
      </w:r>
    </w:p>
    <w:p>
      <w:pPr>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pPr>
        <w:pageBreakBefore/>
        <w:keepNext/>
        <w:widowControl/>
        <w:spacing w:before="240" w:after="200"/>
      </w:pPr>
      <w:r>
        <w:rPr>
          <w:rFonts w:ascii="Times New Roman" w:hAnsi="Times New Roman"/>
          <w:b/>
          <w:sz w:val="26"/>
          <w:szCs w:val="26"/>
        </w:rPr>
        <w:t xml:space="preserve">SERIES EXHIBIT PS-[N]</w:t>
      </w:r>
    </w:p>
    <w:p>
      <w:pPr>
        <w:keepNext/>
        <w:widowControl/>
        <w:spacing w:after="160"/>
        <w:jc w:val="both"/>
      </w:pPr>
      <w:r>
        <w:rPr>
          <w:rFonts w:ascii="Times New Roman" w:hAnsi="Times New Roman"/>
          <w:b/>
          <w:sz w:val="24"/>
          <w:szCs w:val="24"/>
        </w:rPr>
        <w:t xml:space="preserve">Protected Series name (exactly as filed with the Department):</w:t>
      </w:r>
    </w:p>
    <w:p>
      <w:pPr>
        <w:keepNext/>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 e.g., "to acquire, own, lease, and manage the real property located at ___" or "any lawful business"]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Protected Series Manager</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[Same as Company Manager /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[CONTRIBUTION]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Dissolution events specific to this Protected Series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describe]</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Adopted effective [DATE] by the Company, acting through its Manager:</w:t>
      </w:r>
      <w:r>
        <w:rPr>
          <w:rFonts w:ascii="Times New Roman" w:hAnsi="Times New Roman"/>
          <w:b/>
          <w:sz w:val="24"/>
          <w:szCs w:val="24"/>
        </w:rPr>
        <w:t xml:space="preserve">Adopted effective [DATE] by the Company, acting through its Managers:</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[ADOPTER NAME], Protected Series Manager</w:t>
      </w:r>
    </w:p>
    <w:p>
      <w:pPr>
        <w:pageBreakBefore/>
        <w:keepNext/>
        <w:widowControl/>
        <w:spacing w:before="240" w:after="200"/>
      </w:pPr>
      <w:r>
        <w:rPr>
          <w:rFonts w:ascii="Times New Roman" w:hAnsi="Times New Roman"/>
          <w:b/>
          <w:sz w:val="26"/>
          <w:szCs w:val="26"/>
        </w:rPr>
        <w:t xml:space="preserve">ASSET SCHEDULE — ATTACHMENT TO SERIES EXHIBIT PS-[N]</w:t>
      </w:r>
    </w:p>
    <w:p>
      <w:pPr>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widowControl/>
        <w:spacing w:after="160"/>
      </w:pPr>
      <w:r>
        <w:rPr>
          <w:rFonts w:ascii="Times New Roman" w:hAnsi="Times New Roman"/>
          <w:sz w:val="24"/>
        </w:rPr>
      </w:r>
    </w:p>
    <w:p>
      <w:pPr>
        <w:widowControl/>
        <w:spacing w:after="160"/>
        <w:jc w:val="both"/>
      </w:pPr>
      <w:r>
        <w:rPr>
          <w:rFonts w:ascii="Times New Roman" w:hAnsi="Times New Roman"/>
          <w:i/>
          <w:sz w:val="24"/>
          <w:szCs w:val="24"/>
        </w:rPr>
        <w:t xml:space="preserve">Form document — [COMPANY NAME], LLC Operating Agreement (Manager-Managed, Multiple Members / Partnership Taxation), v1 draft. Statutory citations verified against Online Sunshine on August 3, 2026: ss. 605.2103, 605.2107, 605.2201, 605.2202, 605.2301, 605.2401, 605.2501, 605.2604, 605.0502, 605.0503, 605.04091, 48.062, 711.50–711.512, Fla. Stat.; 11 U.S.C. §365; In re Soderstrom, 484 B.R. 874 (M.D. Fla. 2013).</w:t>
      </w:r>
    </w:p>
    <w:p>
      <w:pPr>
        <w:widowControl/>
        <w:spacing w:after="160"/>
        <w:jc w:val="both"/>
      </w:pPr>
      <w:r>
        <w:rPr>
          <w:rFonts w:ascii="Times New Roman" w:hAnsi="Times New Roman"/>
          <w:i/>
          <w:sz w:val="24"/>
          <w:szCs w:val="24"/>
        </w:rPr>
        <w:t xml:space="preserve">[TITLE] of [COMPANY NAME], LLC — generated by MyFloridaSeriesLLC · Master [EDITION]</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