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S Corporation)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who is an Immediate Family Member of the deceased Member is admitted as a Member upon delivery to the Company of a written agreement to be bound by this Agreement; any other beneficiary is admitted as a Member upon such delivery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which are not varied by this Agreement.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Lines/>
        <w:widowControl/>
        <w:spacing w:after="160"/>
        <w:jc w:val="both"/>
      </w:pPr>
      <w:r>
        <w:rPr>
          <w:rFonts w:ascii="Times New Roman" w:hAnsi="Times New Roman"/>
          <w:b/>
          <w:sz w:val="24"/>
          <w:szCs w:val="24"/>
        </w:rPr>
        <w:t xml:space="preserve">5.9 Competition; Other Activities of the Manager. [SELECT THE SAME ALTERNATIVE AS SECTION 4.7]</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consistently with sections 1366 and 1377 of the Internal Revenue Code of 1986, as amended (the "Code").</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w:t>
      </w:r>
      <w:r>
        <w:rPr>
          <w:rFonts w:ascii="Times New Roman" w:hAnsi="Times New Roman"/>
          <w:sz w:val="24"/>
          <w:szCs w:val="24"/>
        </w:rPr>
        <w:t xml:space="preserve">; all distributions, from whatever source, shall be made to the Members strictly pro rata in accordance with their Percentage Interests, and every distribution shall confer identical rights on every Membership Interest.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Tax distributions in respect of a Protected Series shall be made solely from its Associated Assets and treated as advances against later distributions under Section 7.2.</w:t>
      </w:r>
    </w:p>
    <w:p>
      <w:pPr>
        <w:keepLines/>
        <w:widowControl/>
        <w:spacing w:after="160"/>
        <w:jc w:val="both"/>
      </w:pPr>
      <w:r>
        <w:rPr>
          <w:rFonts w:ascii="Times New Roman" w:hAnsi="Times New Roman"/>
          <w:b/>
          <w:sz w:val="24"/>
          <w:szCs w:val="24"/>
        </w:rPr>
        <w:t xml:space="preserve">7.4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and shall deliver to each Member, after the end of each fiscal year, the information (including Schedule K-1) necessary for the Member's returns.</w:t>
      </w:r>
    </w:p>
    <w:p>
      <w:pPr>
        <w:keepLines/>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void to the fullest extent permitted by law; (b) a TOD designation under Section 4.11 is effective only in favor of a beneficiary that is an eligible S corporation shareholder; and (c) no Protected Series may be established, and no interest issued or adjusted, except consistently with Section 4.2 and the one-class-of-stock requirement of section 1361 of the Code.</w:t>
      </w:r>
    </w:p>
    <w:p>
      <w:pPr>
        <w:keepLines/>
        <w:widowControl/>
        <w:spacing w:after="160"/>
        <w:jc w:val="both"/>
      </w:pPr>
      <w:r>
        <w:rPr>
          <w:rFonts w:ascii="Times New Roman" w:hAnsi="Times New Roman"/>
          <w:b/>
          <w:sz w:val="24"/>
          <w:szCs w:val="24"/>
        </w:rPr>
        <w:t xml:space="preserve">9.4 S Corporation Status; Intent; Savings Clause.</w:t>
      </w:r>
    </w:p>
    <w:p>
      <w:pPr>
        <w:keepLines/>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consistently with that intent.</w:t>
      </w:r>
    </w:p>
    <w:p>
      <w:pPr>
        <w:keepLines/>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void to the fullest extent permitted by law.</w:t>
      </w:r>
    </w:p>
    <w:p>
      <w:pPr>
        <w:keepLines/>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Members as a whole.</w:t>
      </w:r>
    </w:p>
    <w:p>
      <w:pPr>
        <w:keepLines/>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(and, if the amendment would alter the rights or obligations of a Member not associated with that Protected Series, by that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