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(Manager-Managed — Single Member / S Corporation)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the undersigned sole member (the "Member") and is acknowledged by the undersigned manager (the "Manager").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Company has elected, or intends to elect, to be classified as an association taxable as a corporation and to be treated as an S corporation for federal income tax purposes.</w:t>
      </w:r>
    </w:p>
    <w:p>
      <w:pPr>
        <w:widowControl/>
        <w:spacing w:after="160"/>
        <w:jc w:val="both"/>
      </w:pPr>
      <w:r>
        <w:rPr>
          <w:rFonts w:ascii="Times New Roman" w:hAnsi="Times New Roman"/>
          <w:sz w:val="24"/>
          <w:szCs w:val="24"/>
        </w:rPr>
        <w:t xml:space="preserve">D. The Member is the sole member of the Company, and intends by this Agreement to set forth the terms governing the Company, each Protected Series designated by the Company, and the relations among the Company, each Protected Series, the Member, and the Manager.</w:t>
      </w:r>
    </w:p>
    <w:p>
      <w:pPr>
        <w:keepNext/>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Next/>
        <w:widowControl/>
        <w:spacing w:after="80"/>
        <w:jc w:val="both"/>
      </w:pPr>
      <w:r>
        <w:rPr>
          <w:rStyle w:val="DraftingChoice"/>
          <w:rFonts w:ascii="Times New Roman" w:hAnsi="Times New Roman"/>
          <w:i/>
          <w:sz w:val="24"/>
          <w:szCs w:val="24"/>
        </w:rPr>
        <w:t xml:space="preserve">[If professional company:]</w:t>
      </w:r>
    </w:p>
    <w:p>
      <w:pPr>
        <w:keepNext/>
        <w:widowControl/>
        <w:spacing w:after="160"/>
        <w:jc w:val="both"/>
      </w:pPr>
      <w:r>
        <w:rPr>
          <w:rFonts w:ascii="Times New Roman" w:hAnsi="Times New Roman"/>
          <w:b/>
          <w:sz w:val="24"/>
          <w:szCs w:val="24"/>
        </w:rPr>
        <w:t xml:space="preserve">Professional companies only.</w:t>
      </w:r>
      <w:r>
        <w:rPr>
          <w:rFonts w:ascii="Times New Roman" w:hAnsi="Times New Roman"/>
          <w:sz w:val="24"/>
          <w:szCs w:val="24"/>
        </w:rPr>
        <w:t xml:space="preserve"> Notwithstanding any other provision of this Agreement or any Series Exhibit, if the Company is organized as a professional limited liability company under Chapter 621, Florida Statutes, the Company and each Protected Series shall engage only in the professional services for which the Company was organized, together with investments and ownership of property permitted by s. 621.08. No Transfer of a Membership Interest or admission as a Member, including through a transfer-on-death designation, a permitted family Transfer, bankruptcy, or continuation after the last Member ceases to be a Member, is permitted unless the recipient is a professional corporation, professional limited liability company, or individual, each licensed or otherwise legally authorized to render the same specific professional services as those for which the Company was organized, as required by ss. 621.09(2) and 621.11(2). These requirements apply in addition to every other transfer and admission requirement of this Agreement, including any applicable S corporation shareholder eligibility requirement.</w:t>
      </w:r>
    </w:p>
    <w:p>
      <w:pPr>
        <w:widowControl/>
        <w:spacing w:after="80"/>
        <w:jc w:val="both"/>
      </w:pPr>
      <w:r>
        <w:rPr>
          <w:rStyle w:val="DraftingChoice"/>
          <w:rFonts w:ascii="Times New Roman" w:hAnsi="Times New Roman"/>
          <w:i/>
          <w:sz w:val="24"/>
          <w:szCs w:val="24"/>
        </w:rPr>
        <w:t xml:space="preserve">[End if professional company.]</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articles of dissolution of the Company, articles of protected series dissolution, and, after winding up a Protected Series, statements of designation cancellation,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Membership Interest.</w:t>
      </w:r>
      <w:r>
        <w:rPr>
          <w:rFonts w:ascii="Times New Roman" w:hAnsi="Times New Roman"/>
          <w:sz w:val="24"/>
          <w:szCs w:val="24"/>
        </w:rPr>
        <w:t xml:space="preserve"> The Member's interest in the Company is personal property for all purposes.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"Code"</w:t>
      </w:r>
      <w:r>
        <w:rPr>
          <w:rFonts w:ascii="Times New Roman" w:hAnsi="Times New Roman"/>
          <w:sz w:val="24"/>
          <w:szCs w:val="24"/>
        </w:rPr>
        <w:t xml:space="preserve"> means the Internal Revenue Code of 1986, as amended, and the Treasury Regulations promulgated under it.</w:t>
      </w:r>
    </w:p>
    <w:p>
      <w:pPr>
        <w:widowControl/>
        <w:spacing w:after="160"/>
        <w:jc w:val="both"/>
      </w:pPr>
      <w:r>
        <w:rPr>
          <w:rFonts w:ascii="Times New Roman" w:hAnsi="Times New Roman"/>
          <w:b/>
          <w:sz w:val="24"/>
          <w:szCs w:val="24"/>
        </w:rPr>
        <w:t xml:space="preserve">2.6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2.7 "Immediate Family Member"</w:t>
      </w:r>
      <w:r>
        <w:rPr>
          <w:rFonts w:ascii="Times New Roman" w:hAnsi="Times New Roman"/>
          <w:sz w:val="24"/>
          <w:szCs w:val="24"/>
        </w:rPr>
        <w:t xml:space="preserve"> means (a)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2.8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2.9 "Manager"</w:t>
      </w:r>
      <w:r>
        <w:rPr>
          <w:rFonts w:ascii="Times New Roman" w:hAnsi="Times New Roman"/>
          <w:sz w:val="24"/>
          <w:szCs w:val="24"/>
        </w:rPr>
        <w:t xml:space="preserve"> means the person named in Section 5.1 and any successor designated under this Agreement.</w:t>
      </w:r>
    </w:p>
    <w:p>
      <w:pPr>
        <w:widowControl/>
        <w:spacing w:after="160"/>
        <w:jc w:val="both"/>
      </w:pPr>
      <w:r>
        <w:rPr>
          <w:rFonts w:ascii="Times New Roman" w:hAnsi="Times New Roman"/>
          <w:b/>
          <w:sz w:val="24"/>
          <w:szCs w:val="24"/>
        </w:rPr>
        <w:t xml:space="preserve">2.10 "Member"</w:t>
      </w:r>
      <w:r>
        <w:rPr>
          <w:rFonts w:ascii="Times New Roman" w:hAnsi="Times New Roman"/>
          <w:sz w:val="24"/>
          <w:szCs w:val="24"/>
        </w:rPr>
        <w:t xml:space="preserve"> means the person identified as such on Exhibit A and any successor admitted in accordance with this Agreement.</w:t>
      </w:r>
    </w:p>
    <w:p>
      <w:pPr>
        <w:widowControl/>
        <w:spacing w:after="160"/>
        <w:jc w:val="both"/>
      </w:pPr>
      <w:r>
        <w:rPr>
          <w:rFonts w:ascii="Times New Roman" w:hAnsi="Times New Roman"/>
          <w:b/>
          <w:sz w:val="24"/>
          <w:szCs w:val="24"/>
        </w:rPr>
        <w:t xml:space="preserve">2.11 "Membership Interest"</w:t>
      </w:r>
      <w:r>
        <w:rPr>
          <w:rFonts w:ascii="Times New Roman" w:hAnsi="Times New Roman"/>
          <w:sz w:val="24"/>
          <w:szCs w:val="24"/>
        </w:rPr>
        <w:t xml:space="preserve"> means the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2.12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2.13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2.14 "Protected Series Manager"</w:t>
      </w:r>
      <w:r>
        <w:rPr>
          <w:rFonts w:ascii="Times New Roman" w:hAnsi="Times New Roman"/>
          <w:sz w:val="24"/>
          <w:szCs w:val="24"/>
        </w:rPr>
        <w:t xml:space="preserve"> means the person responsible for management of a Protected Series under Section 5.2.</w:t>
      </w:r>
    </w:p>
    <w:p>
      <w:pPr>
        <w:widowControl/>
        <w:spacing w:after="160"/>
        <w:jc w:val="both"/>
      </w:pPr>
      <w:r>
        <w:rPr>
          <w:rFonts w:ascii="Times New Roman" w:hAnsi="Times New Roman"/>
          <w:b/>
          <w:sz w:val="24"/>
          <w:szCs w:val="24"/>
        </w:rPr>
        <w:t xml:space="preserve">2.15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Each Series Exhibit is a part of this Agreement.</w:t>
      </w:r>
    </w:p>
    <w:p>
      <w:pPr>
        <w:widowControl/>
        <w:spacing w:after="160"/>
        <w:jc w:val="both"/>
      </w:pPr>
      <w:r>
        <w:rPr>
          <w:rFonts w:ascii="Times New Roman" w:hAnsi="Times New Roman"/>
          <w:b/>
          <w:sz w:val="24"/>
          <w:szCs w:val="24"/>
        </w:rPr>
        <w:t xml:space="preserve">2.16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and the Manager shall adopt a Series Exhibit for the new Protected Series. The Manager is authorized to execute and file each Protected Series Designation the Member approves.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the Member, and from the Manager;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as ss. 605.2602 and 605.2605–605.2607, Florida Statutes, permit;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The Member and the Manager are not personally liable, directly or indirectly, by way of contribution or otherwise, for any debt, obligation, or liability of the Company or of any Protected Series solely by reason of being or acting as a member, manager,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the provisions of Article 8, or the provisions of Article 9.</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THE MEMBER; MEMBERSHIP INTEREST</w:t>
      </w:r>
    </w:p>
    <w:p>
      <w:pPr>
        <w:widowControl/>
        <w:spacing w:after="160"/>
        <w:jc w:val="both"/>
      </w:pPr>
      <w:r>
        <w:rPr>
          <w:rFonts w:ascii="Times New Roman" w:hAnsi="Times New Roman"/>
          <w:b/>
          <w:sz w:val="24"/>
          <w:szCs w:val="24"/>
        </w:rPr>
        <w:t xml:space="preserve">4.1 Sole Member.</w:t>
      </w:r>
      <w:r>
        <w:rPr>
          <w:rFonts w:ascii="Times New Roman" w:hAnsi="Times New Roman"/>
          <w:sz w:val="24"/>
          <w:szCs w:val="24"/>
        </w:rPr>
        <w:t xml:space="preserve"> The Member identified on Exhibit A is the sole member of the Company and holds one hundred percent (100%) of the Membership Interest. The Company has a single class of ownership; no certificates shall be issued unless the Manager determines otherwise.</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widowControl/>
        <w:spacing w:after="160"/>
        <w:jc w:val="both"/>
      </w:pPr>
      <w:r>
        <w:rPr>
          <w:rFonts w:ascii="Times New Roman" w:hAnsi="Times New Roman"/>
          <w:b/>
          <w:sz w:val="24"/>
          <w:szCs w:val="24"/>
        </w:rPr>
        <w:t xml:space="preserve">4.3 Limited Liability.</w:t>
      </w:r>
      <w:r>
        <w:rPr>
          <w:rFonts w:ascii="Times New Roman" w:hAnsi="Times New Roman"/>
          <w:sz w:val="24"/>
          <w:szCs w:val="24"/>
        </w:rPr>
        <w:t xml:space="preserve"> The Member shall not be personally liable for any debt, obligation, or liability of the Company or of any Protected Series, whether arising in contract, tort, or otherwise, solely by reason of being a member.</w:t>
      </w:r>
    </w:p>
    <w:p>
      <w:pPr>
        <w:widowControl/>
        <w:spacing w:after="160"/>
        <w:jc w:val="both"/>
      </w:pPr>
      <w:r>
        <w:rPr>
          <w:rFonts w:ascii="Times New Roman" w:hAnsi="Times New Roman"/>
          <w:b/>
          <w:sz w:val="24"/>
          <w:szCs w:val="24"/>
        </w:rPr>
        <w:t xml:space="preserve">4.4 No Agency by Status.</w:t>
      </w:r>
      <w:r>
        <w:rPr>
          <w:rFonts w:ascii="Times New Roman" w:hAnsi="Times New Roman"/>
          <w:sz w:val="24"/>
          <w:szCs w:val="24"/>
        </w:rPr>
        <w:t xml:space="preserve"> The Member is not an agent of the Company or of any Protected Series solely by reason of being a member.</w:t>
      </w:r>
    </w:p>
    <w:p>
      <w:pPr>
        <w:widowControl/>
        <w:spacing w:after="160"/>
        <w:jc w:val="both"/>
      </w:pPr>
      <w:r>
        <w:rPr>
          <w:rFonts w:ascii="Times New Roman" w:hAnsi="Times New Roman"/>
          <w:b/>
          <w:sz w:val="24"/>
          <w:szCs w:val="24"/>
        </w:rPr>
        <w:t xml:space="preserve">4.5 Other Activities.</w:t>
      </w:r>
      <w:r>
        <w:rPr>
          <w:rFonts w:ascii="Times New Roman" w:hAnsi="Times New Roman"/>
          <w:sz w:val="24"/>
          <w:szCs w:val="24"/>
        </w:rPr>
        <w:t xml:space="preserve"> The Member and the Manager may engage in or possess interests in other business ventures of any nature, independently or with others, and neither the Company nor any Protected Series shall have any right in such ventures by virtue of this Agreement.</w:t>
      </w:r>
    </w:p>
    <w:p>
      <w:pPr>
        <w:widowControl/>
        <w:spacing w:after="160"/>
        <w:jc w:val="both"/>
      </w:pPr>
      <w:r>
        <w:rPr>
          <w:rFonts w:ascii="Times New Roman" w:hAnsi="Times New Roman"/>
          <w:b/>
          <w:sz w:val="24"/>
          <w:szCs w:val="24"/>
        </w:rPr>
        <w:t xml:space="preserve">4.6 Transfer on Death Designation.</w:t>
      </w:r>
      <w:r>
        <w:rPr>
          <w:rFonts w:ascii="Times New Roman" w:hAnsi="Times New Roman"/>
          <w:sz w:val="24"/>
          <w:szCs w:val="24"/>
        </w:rPr>
        <w:t xml:space="preserve">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Subject to Section 9.3(b), the Member, if an individual, may designate any person or entity as a beneficiary. A designation may name a backup beneficiary to take if the first beneficiary does not survive the Member. The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A beneficiary who becomes the owner of the Membership Interest under this Section succeeds to the Membership Interest subject to this Agreement and is admitted as the Member upon delivery to the Company of a written agreement to be bound by this Agreement.</w:t>
      </w:r>
    </w:p>
    <w:p>
      <w:pPr>
        <w:widowControl/>
        <w:spacing w:after="160"/>
        <w:jc w:val="both"/>
      </w:pPr>
      <w:r>
        <w:rPr>
          <w:rFonts w:ascii="Times New Roman" w:hAnsi="Times New Roman"/>
          <w:b/>
          <w:sz w:val="24"/>
          <w:szCs w:val="24"/>
        </w:rPr>
        <w:t xml:space="preserve">4.7 Incapacity of the Member.</w:t>
      </w:r>
      <w:r>
        <w:rPr>
          <w:rFonts w:ascii="Times New Roman" w:hAnsi="Times New Roman"/>
          <w:sz w:val="24"/>
          <w:szCs w:val="24"/>
        </w:rPr>
        <w:t xml:space="preserve"> While the Member is Incapacitated, the Member's rights under this Agreement — including the right to vote, to consent, and to sign any instrument — are exercised by the Member's agent under a durable power of attorney conferring that authority or, if there is none, by the Member's court-appointed guardian. The Company and the Manager may rely on a certified copy of the power of attorney or of the letters of guardianship without further inquiry.</w:t>
      </w:r>
    </w:p>
    <w:p>
      <w:pPr>
        <w:widowControl/>
        <w:spacing w:after="160"/>
        <w:jc w:val="both"/>
      </w:pPr>
      <w:r>
        <w:rPr>
          <w:rFonts w:ascii="Times New Roman" w:hAnsi="Times New Roman"/>
          <w:b/>
          <w:sz w:val="24"/>
          <w:szCs w:val="24"/>
        </w:rPr>
        <w:t xml:space="preserve">4.8 Bankruptcy or Insolvency of the Member.</w:t>
      </w:r>
      <w:r>
        <w:rPr>
          <w:rFonts w:ascii="Times New Roman" w:hAnsi="Times New Roman"/>
          <w:sz w:val="24"/>
          <w:szCs w:val="24"/>
        </w:rPr>
        <w:t xml:space="preserve"> The Member is not dissociated, and the Membership Interest is not forfeited, terminated, or modified, by reason of the Member becoming a debtor in bankruptcy, executing an assignment for the benefit of creditors, or the appointment of a trustee, receiver, or liquidator of the Member or of all or substantially all of the Member's property, and each such event is excluded as an event of dissociation under s. 605.0602, Florida Statutes. The Manager continues in office with the authority stated in this Agreement, and the Company and each Protected Series continue without dissolution or winding up. A person who succeeds to all or any part of the Membership Interest by reason of such an event holds it subject to this Agreement and is admitted as the Member upon delivery to the Company of a written agreement to be bound by this Agreement.</w:t>
      </w:r>
    </w:p>
    <w:p>
      <w:pPr>
        <w:keepNext/>
        <w:widowControl/>
        <w:spacing w:before="240" w:after="200"/>
      </w:pPr>
      <w:r>
        <w:rPr>
          <w:rFonts w:ascii="Times New Roman" w:hAnsi="Times New Roman"/>
          <w:b/>
          <w:sz w:val="26"/>
          <w:szCs w:val="26"/>
        </w:rPr>
        <w:t xml:space="preserve">ARTICLE 5 — MANAGEMENT</w:t>
      </w:r>
    </w:p>
    <w:p>
      <w:pPr>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w:t>
      </w:r>
      <w:r>
        <w:rPr>
          <w:rStyle w:val="DraftingChoice"/>
          <w:rFonts w:ascii="Times New Roman" w:hAnsi="Times New Roman"/>
          <w:i/>
          <w:sz w:val="24"/>
          <w:szCs w:val="24"/>
        </w:rPr>
        <w:t xml:space="preserve">[One manager: </w:t>
      </w:r>
      <w:r>
        <w:rPr>
          <w:rFonts w:ascii="Times New Roman" w:hAnsi="Times New Roman"/>
          <w:sz w:val="24"/>
          <w:szCs w:val="24"/>
        </w:rPr>
        <w:t xml:space="preserve">The initial Manager is [MANAGER NAMES].</w:t>
      </w:r>
      <w:r>
        <w:rPr>
          <w:rStyle w:val="DraftingChoice"/>
          <w:rFonts w:ascii="Times New Roman" w:hAnsi="Times New Roman"/>
          <w:i/>
          <w:sz w:val="24"/>
          <w:szCs w:val="24"/>
        </w:rPr>
        <w:t xml:space="preserve">]</w:t>
      </w:r>
      <w:r>
        <w:rPr>
          <w:rFonts w:ascii="Times New Roman" w:hAnsi="Times New Roman"/>
          <w:sz w:val="24"/>
          <w:szCs w:val="24"/>
        </w:rPr>
        <w:t xml:space="preserve">  </w:t>
      </w:r>
      <w:r>
        <w:rPr>
          <w:rStyle w:val="DraftingChoice"/>
          <w:rFonts w:ascii="Times New Roman" w:hAnsi="Times New Roman"/>
          <w:i/>
          <w:sz w:val="24"/>
          <w:szCs w:val="24"/>
        </w:rPr>
        <w:t xml:space="preserve">[Multiple managers: </w:t>
      </w:r>
      <w:r>
        <w:rPr>
          <w:rFonts w:ascii="Times New Roman" w:hAnsi="Times New Roman"/>
          <w:sz w:val="24"/>
          <w:szCs w:val="24"/>
        </w:rPr>
        <w:t xml:space="preserve">The initial Managers are [MANAGER NAMES].</w:t>
      </w:r>
      <w:r>
        <w:rPr>
          <w:rStyle w:val="DraftingChoice"/>
          <w:rFonts w:ascii="Times New Roman" w:hAnsi="Times New Roman"/>
          <w:i/>
          <w:sz w:val="24"/>
          <w:szCs w:val="24"/>
        </w:rPr>
        <w:t xml:space="preserve">]</w:t>
      </w:r>
      <w:r>
        <w:rPr>
          <w:rFonts w:ascii="Times New Roman" w:hAnsi="Times New Roman"/>
          <w:sz w:val="24"/>
          <w:szCs w:val="24"/>
        </w:rPr>
        <w:t xml:space="preserve">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by the Member, death, or Incapacity; the Member may remove and replace a Manager, appoint an additional Manager, and shall fill any vacancy, by a signed writing delivered to the Company. If a Manager ceases to serve as Manager for any reason, the remaining Managers shall continue to serve.</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the Member.</w:t>
      </w:r>
    </w:p>
    <w:p>
      <w:pPr>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written consent of the Member:</w:t>
      </w:r>
    </w:p>
    <w:p>
      <w:pPr>
        <w:widowControl/>
        <w:spacing w:after="160"/>
        <w:jc w:val="both"/>
      </w:pPr>
      <w:r>
        <w:rPr>
          <w:rFonts w:ascii="Times New Roman" w:hAnsi="Times New Roman"/>
          <w:sz w:val="24"/>
          <w:szCs w:val="24"/>
        </w:rPr>
        <w:t xml:space="preserve">(a) sell, exchange, or otherwise dispose of all or substantially all of the Associated Assets of the Company or of any Protected Series, other than in the ordinary course of business;</w:t>
      </w:r>
    </w:p>
    <w:p>
      <w:pPr>
        <w:widowControl/>
        <w:spacing w:after="160"/>
        <w:jc w:val="both"/>
      </w:pPr>
      <w:r>
        <w:rPr>
          <w:rFonts w:ascii="Times New Roman" w:hAnsi="Times New Roman"/>
          <w:sz w:val="24"/>
          <w:szCs w:val="24"/>
        </w:rPr>
        <w:t xml:space="preserve">(b) file, amend, or cancel a statement of authority under s. 605.0302, Florida Statutes, or record a certified copy of one; or</w:t>
      </w:r>
    </w:p>
    <w:p>
      <w:pPr>
        <w:widowControl/>
        <w:spacing w:after="160"/>
        <w:jc w:val="both"/>
      </w:pPr>
      <w:r>
        <w:rPr>
          <w:rFonts w:ascii="Times New Roman" w:hAnsi="Times New Roman"/>
          <w:sz w:val="24"/>
          <w:szCs w:val="24"/>
        </w:rPr>
        <w:t xml:space="preserve">(c) make, change, or revoke any election under the Code affecting the classification of the Company or of any Protected Series.</w:t>
      </w:r>
    </w:p>
    <w:p>
      <w:pPr>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No Manager or Protected Series Manager shall be liable to the Company, any Protected Series, or the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or from an act taken without the approval Section 5.4 requires;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 A Manager who acts without the approval Section 5.4 requires is liable to the Company or the affected Protected Series for any loss caused by that act, and the Company or Protected Series is entitled to indemnity from that Manager.</w:t>
      </w:r>
    </w:p>
    <w:p>
      <w:pPr>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the Member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With the consent of the Member required by Section 5.4(b), the Manager may cause a statement of authority to be filed with the Department for the Company or the relevant Protected Series under s. 605.0302, Florida Statutes, stating the authority, or the limitations on the authority, of the Manager, of any Protected Series Manager, or of any person holding a specified position, to transfer or encumber real property held in the name of the entity identified in the statement, and may cause a certified copy of that statement to be recorded in the official records of any county in which the real property is located. A statement concerning real property held in the name of the Company shall identify the Company as the entity whose authority is stated. A statement concerning real property held in the name of a Protected Series shall be filed for and identify that Protected Series as the entity whose authority is stated. A statement so filed shall be consistent with this Agreement, and shall be amended or cancelled as necessary to keep it accurate. The limitations in Section 5.4 apply to the Manager whether or not a statement of authority is filed or recorded.</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Contributions.</w:t>
      </w:r>
      <w:r>
        <w:rPr>
          <w:rFonts w:ascii="Times New Roman" w:hAnsi="Times New Roman"/>
          <w:sz w:val="24"/>
          <w:szCs w:val="24"/>
        </w:rPr>
        <w:t xml:space="preserve">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widowControl/>
        <w:spacing w:after="160"/>
        <w:jc w:val="both"/>
      </w:pPr>
      <w:r>
        <w:rPr>
          <w:rFonts w:ascii="Times New Roman" w:hAnsi="Times New Roman"/>
          <w:b/>
          <w:sz w:val="24"/>
          <w:szCs w:val="24"/>
        </w:rPr>
        <w:t xml:space="preserve">6.2 No Obligation; No Interest.</w:t>
      </w:r>
      <w:r>
        <w:rPr>
          <w:rFonts w:ascii="Times New Roman" w:hAnsi="Times New Roman"/>
          <w:sz w:val="24"/>
          <w:szCs w:val="24"/>
        </w:rPr>
        <w:t xml:space="preserve"> The Member is not obligated to make any additional contribution to the Company or to any Protected Series. No interest shall be paid on any contribution.</w:t>
      </w:r>
    </w:p>
    <w:p>
      <w:pPr>
        <w:widowControl/>
        <w:spacing w:after="160"/>
        <w:jc w:val="both"/>
      </w:pPr>
      <w:r>
        <w:rPr>
          <w:rFonts w:ascii="Times New Roman" w:hAnsi="Times New Roman"/>
          <w:b/>
          <w:sz w:val="24"/>
          <w:szCs w:val="24"/>
        </w:rPr>
        <w:t xml:space="preserve">6.3 Separate Accounting.</w:t>
      </w:r>
      <w:r>
        <w:rPr>
          <w:rFonts w:ascii="Times New Roman" w:hAnsi="Times New Roman"/>
          <w:sz w:val="24"/>
          <w:szCs w:val="24"/>
        </w:rPr>
        <w:t xml:space="preserve"> The Company shall maintain a separate accounting of contributions to, and the capital of, the Company and each Protected Series.</w:t>
      </w:r>
    </w:p>
    <w:p>
      <w:pPr>
        <w:widowControl/>
        <w:spacing w:after="160"/>
        <w:jc w:val="both"/>
      </w:pPr>
      <w:r>
        <w:rPr>
          <w:rFonts w:ascii="Times New Roman" w:hAnsi="Times New Roman"/>
          <w:b/>
          <w:sz w:val="24"/>
          <w:szCs w:val="24"/>
        </w:rPr>
        <w:t xml:space="preserve">6.4 Member Loans.</w:t>
      </w:r>
      <w:r>
        <w:rPr>
          <w:rFonts w:ascii="Times New Roman" w:hAnsi="Times New Roman"/>
          <w:sz w:val="24"/>
          <w:szCs w:val="24"/>
        </w:rPr>
        <w:t xml:space="preserve">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 A loan made under this Section shall be documented as indebtedness and does not create a second class of ownership.</w:t>
      </w:r>
    </w:p>
    <w:p>
      <w:pPr>
        <w:widowControl/>
        <w:spacing w:after="160"/>
        <w:jc w:val="both"/>
      </w:pPr>
      <w:r>
        <w:rPr>
          <w:rFonts w:ascii="Times New Roman" w:hAnsi="Times New Roman"/>
          <w:b/>
          <w:sz w:val="24"/>
          <w:szCs w:val="24"/>
        </w:rPr>
        <w:t xml:space="preserve">6.5 No Right to Specific Property.</w:t>
      </w:r>
      <w:r>
        <w:rPr>
          <w:rFonts w:ascii="Times New Roman" w:hAnsi="Times New Roman"/>
          <w:sz w:val="24"/>
          <w:szCs w:val="24"/>
        </w:rPr>
        <w:t xml:space="preserve"> The Member has no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DISTRIBUTIONS</w:t>
      </w:r>
    </w:p>
    <w:p>
      <w:pPr>
        <w:widowControl/>
        <w:spacing w:after="160"/>
        <w:jc w:val="both"/>
      </w:pPr>
      <w:r>
        <w:rPr>
          <w:rFonts w:ascii="Times New Roman" w:hAnsi="Times New Roman"/>
          <w:b/>
          <w:sz w:val="24"/>
          <w:szCs w:val="24"/>
        </w:rPr>
        <w:t xml:space="preserve">7.1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w:t>
      </w:r>
    </w:p>
    <w:p>
      <w:pPr>
        <w:widowControl/>
        <w:spacing w:after="160"/>
        <w:jc w:val="both"/>
      </w:pPr>
      <w:r>
        <w:rPr>
          <w:rFonts w:ascii="Times New Roman" w:hAnsi="Times New Roman"/>
          <w:b/>
          <w:sz w:val="24"/>
          <w:szCs w:val="24"/>
        </w:rPr>
        <w:t xml:space="preserve">7.2 Source Limitation.</w:t>
      </w:r>
      <w:r>
        <w:rPr>
          <w:rFonts w:ascii="Times New Roman" w:hAnsi="Times New Roman"/>
          <w:sz w:val="24"/>
          <w:szCs w:val="24"/>
        </w:rPr>
        <w:t xml:space="preserve">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 Each distribution shall be recorded in the records maintained under Article 8, identifying its source.</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The records of the Company that the Member may inspect include the records maintained under this Article for every Protected Series.</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the Member or the Manager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The Member shall execute the consents and other instruments (including IRS Form 2553) necessary or appropriate to make and maintain the election, and no election shall be revoked without the Member's written consent.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w:t>
      </w:r>
    </w:p>
    <w:p>
      <w:pPr>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Manager shall cause to be prepared and filed all tax returns required of the Company (including Form 1120-S) and of each Protected Series, if necessary or required, and shall deliver to the Member, after the end of each fiscal year, the information (including Schedule K-1) necessary for the Member's returns.</w:t>
      </w:r>
    </w:p>
    <w:p>
      <w:pPr>
        <w:keepNext/>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w:t>
      </w:r>
    </w:p>
    <w:p>
      <w:pPr>
        <w:widowControl/>
        <w:spacing w:after="160"/>
        <w:jc w:val="both"/>
      </w:pPr>
      <w:r>
        <w:rPr>
          <w:rFonts w:ascii="Times New Roman" w:hAnsi="Times New Roman"/>
          <w:sz w:val="24"/>
          <w:szCs w:val="24"/>
        </w:rPr>
        <w:t xml:space="preserve">(a) no Transfer of all or any part of the Membership Interest, or of any transferable interest, may be made to any person who is not an eligible S corporation shareholder under section 1361 of the Code, or that would cause the number of shareholders to exceed the limit of that section, and any purported Transfer in violation of this clause is null and void ab initio and shall be given no force or effect for any purpose;</w:t>
      </w:r>
    </w:p>
    <w:p>
      <w:pPr>
        <w:widowControl/>
        <w:spacing w:after="160"/>
        <w:jc w:val="both"/>
      </w:pPr>
      <w:r>
        <w:rPr>
          <w:rFonts w:ascii="Times New Roman" w:hAnsi="Times New Roman"/>
          <w:sz w:val="24"/>
          <w:szCs w:val="24"/>
        </w:rPr>
        <w:t xml:space="preserve">(b) a TOD designation under Section 4.6 is effective only in favor of a beneficiary that is an eligible S corporation shareholder under section 1361 of the Code, and a designation in favor of any other person is null and void ab initio and shall be given no force or effect for any purpose;</w:t>
      </w:r>
    </w:p>
    <w:p>
      <w:pPr>
        <w:widowControl/>
        <w:spacing w:after="160"/>
        <w:jc w:val="both"/>
      </w:pPr>
      <w:r>
        <w:rPr>
          <w:rFonts w:ascii="Times New Roman" w:hAnsi="Times New Roman"/>
          <w:sz w:val="24"/>
          <w:szCs w:val="24"/>
        </w:rPr>
        <w:t xml:space="preserve">(c) no additional member may be admitted except as Section 10.1 permits; and</w:t>
      </w:r>
    </w:p>
    <w:p>
      <w:pPr>
        <w:widowControl/>
        <w:spacing w:after="160"/>
        <w:jc w:val="both"/>
      </w:pPr>
      <w:r>
        <w:rPr>
          <w:rFonts w:ascii="Times New Roman" w:hAnsi="Times New Roman"/>
          <w:sz w:val="24"/>
          <w:szCs w:val="24"/>
        </w:rPr>
        <w:t xml:space="preserve">(d) no Protected Series may be established, and no ownership interest in the Company issued or adjusted, except consistent with Section 3.6(c), Section 4.2, and the one-class-of-stock requirement of section 1361 of the Code, and any such establishment, issuance, or adjustment in violation of this clause is null and void ab initio and shall be given no force or effect for any purpose.</w:t>
      </w:r>
    </w:p>
    <w:p>
      <w:pPr>
        <w:keepNext/>
        <w:widowControl/>
        <w:spacing w:after="160"/>
        <w:jc w:val="both"/>
      </w:pPr>
      <w:r>
        <w:rPr>
          <w:rFonts w:ascii="Times New Roman" w:hAnsi="Times New Roman"/>
          <w:b/>
          <w:sz w:val="24"/>
          <w:szCs w:val="24"/>
        </w:rPr>
        <w:t xml:space="preserve">9.4 Intent; Savings Clause.</w:t>
      </w:r>
    </w:p>
    <w:p>
      <w:pPr>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 that the Company qualify at all times as a small business corporation eligible for a valid election under section 1362 of the Code, that the election be and remain in effect, and that this Agreement, each Series Exhibit, and every other agreement relating to the Company or any Protected Series be interpreted, applied, and administered consistent with that intent.</w:t>
      </w:r>
    </w:p>
    <w:p>
      <w:pPr>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relating to the Company or any Protected Series that would (i) cause the Company to fail to qualify as a small business corporation, (ii) cause the Company to have more than one class of ownership, or (iii) otherwise cause the election to be invalid or to terminate, is null and void ab initio and shall be given no force or effect for any purpose, as though it had never been included.</w:t>
      </w:r>
    </w:p>
    <w:p>
      <w:pPr>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Neither the Member nor the Manager,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widowControl/>
        <w:spacing w:after="160"/>
        <w:jc w:val="both"/>
      </w:pPr>
      <w:r>
        <w:rPr>
          <w:rFonts w:ascii="Times New Roman" w:hAnsi="Times New Roman"/>
          <w:b/>
          <w:sz w:val="24"/>
          <w:szCs w:val="24"/>
        </w:rPr>
        <w:t xml:space="preserve">(d) A single class of ownership in all events.</w:t>
      </w:r>
      <w:r>
        <w:rPr>
          <w:rFonts w:ascii="Times New Roman" w:hAnsi="Times New Roman"/>
          <w:sz w:val="24"/>
          <w:szCs w:val="24"/>
        </w:rPr>
        <w:t xml:space="preserve"> Notwithstanding any other provision of this Agreement or of any Series Exhibit, the Company shall at all times have a single class of ownership, and no distribution, allocation, or other act shall be made or taken that would cause any ownership interest in the Company to confer other than identical rights to distributions and liquidation proceeds.</w:t>
      </w:r>
    </w:p>
    <w:p>
      <w:pPr>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 and the Manager shall cooperate to obtain relief for an inadvertent termination or invalid election under section 1362(f) of the Code, including making the adjustments and taking the actions the Internal Revenue Service may require.</w:t>
      </w:r>
    </w:p>
    <w:p>
      <w:pPr>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The Manager may make, change, or revoke any other tax election for the Company or any Protected Series that is consistent with maintaining the S corporation election and that the Manager determines to be in the best interests of the Member.</w:t>
      </w:r>
    </w:p>
    <w:p>
      <w:pPr>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the Manager.</w:t>
      </w:r>
    </w:p>
    <w:p>
      <w:pPr>
        <w:keepNext/>
        <w:widowControl/>
        <w:spacing w:before="240" w:after="200"/>
      </w:pPr>
      <w:r>
        <w:rPr>
          <w:rFonts w:ascii="Times New Roman" w:hAnsi="Times New Roman"/>
          <w:b/>
          <w:sz w:val="26"/>
          <w:szCs w:val="26"/>
        </w:rPr>
        <w:t xml:space="preserve">ARTICLE 10 — ADMISSION OF ADDITIONAL MEMBERS</w:t>
      </w:r>
    </w:p>
    <w:p>
      <w:pPr>
        <w:widowControl/>
        <w:spacing w:after="160"/>
        <w:jc w:val="both"/>
      </w:pPr>
      <w:r>
        <w:rPr>
          <w:rFonts w:ascii="Times New Roman" w:hAnsi="Times New Roman"/>
          <w:b/>
          <w:sz w:val="24"/>
          <w:szCs w:val="24"/>
        </w:rPr>
        <w:t xml:space="preserve">10.1 Admission.</w:t>
      </w:r>
      <w:r>
        <w:rPr>
          <w:rFonts w:ascii="Times New Roman" w:hAnsi="Times New Roman"/>
          <w:sz w:val="24"/>
          <w:szCs w:val="24"/>
        </w:rPr>
        <w:t xml:space="preserve"> One or more additional members may be admitted to the Company only with the written consent of the Member, upon the admitted person's delivery of a signed agreement to be bound by this Agreement, and only if that person is an eligible S corporation shareholder under section 1361 of the Code and the admission would not cause the number of shareholders to exceed the limit of that section. Any purported admission in violation of this Section is null and void ab initio and shall be given no force or effect for any purpose.</w:t>
      </w:r>
    </w:p>
    <w:p>
      <w:pPr>
        <w:widowControl/>
        <w:spacing w:after="160"/>
        <w:jc w:val="both"/>
      </w:pPr>
      <w:r>
        <w:rPr>
          <w:rFonts w:ascii="Times New Roman" w:hAnsi="Times New Roman"/>
          <w:b/>
          <w:sz w:val="24"/>
          <w:szCs w:val="24"/>
        </w:rPr>
        <w:t xml:space="preserve">10.2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10.3 Continuation on Termination of Last Member.</w:t>
      </w:r>
      <w:r>
        <w:rPr>
          <w:rFonts w:ascii="Times New Roman" w:hAnsi="Times New Roman"/>
          <w:sz w:val="24"/>
          <w:szCs w:val="24"/>
        </w:rPr>
        <w:t xml:space="preserve">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11 — DISSOLUTION AND WINDING UP</w:t>
      </w:r>
    </w:p>
    <w:p>
      <w:pPr>
        <w:widowControl/>
        <w:spacing w:after="160"/>
        <w:jc w:val="both"/>
      </w:pPr>
      <w:r>
        <w:rPr>
          <w:rFonts w:ascii="Times New Roman" w:hAnsi="Times New Roman"/>
          <w:b/>
          <w:sz w:val="24"/>
          <w:szCs w:val="24"/>
        </w:rPr>
        <w:t xml:space="preserve">11.1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widowControl/>
        <w:spacing w:after="160"/>
        <w:jc w:val="both"/>
      </w:pPr>
      <w:r>
        <w:rPr>
          <w:rFonts w:ascii="Times New Roman" w:hAnsi="Times New Roman"/>
          <w:b/>
          <w:sz w:val="24"/>
          <w:szCs w:val="24"/>
        </w:rPr>
        <w:t xml:space="preserve">11.2 Winding Up a Protected Series.</w:t>
      </w:r>
      <w:r>
        <w:rPr>
          <w:rFonts w:ascii="Times New Roman" w:hAnsi="Times New Roman"/>
          <w:sz w:val="24"/>
          <w:szCs w:val="24"/>
        </w:rPr>
        <w:t xml:space="preserve"> Upon dissolution of a Protected Series, its Protected Series Manager (or another person designated by the 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11.3 Dissolution of the Company.</w:t>
      </w:r>
      <w:r>
        <w:rPr>
          <w:rFonts w:ascii="Times New Roman" w:hAnsi="Times New Roman"/>
          <w:sz w:val="24"/>
          <w:szCs w:val="24"/>
        </w:rPr>
        <w:t xml:space="preserve"> The Company is dissolved, and its activities and affairs shall be wound up, upon the first to occur of: (a) the written consent of the Member; (b) entry of a decree of judicial dissolution under the Act; or (c) any other event that under the Act requires dissolution. The death, incapacity, bankruptcy, dissociation, or withdrawal of the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11.4 Winding Up the Company.</w:t>
      </w:r>
      <w:r>
        <w:rPr>
          <w:rFonts w:ascii="Times New Roman" w:hAnsi="Times New Roman"/>
          <w:sz w:val="24"/>
          <w:szCs w:val="24"/>
        </w:rPr>
        <w:t xml:space="preserve"> Upon dissolution of the Company, the Manager (or, if there is none, a person designated by the Member) shall wind up the Company and each Protected Series. After the winding up of each Protected Series under Section 11.2,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11.5 Recourse Limited.</w:t>
      </w:r>
      <w:r>
        <w:rPr>
          <w:rFonts w:ascii="Times New Roman" w:hAnsi="Times New Roman"/>
          <w:sz w:val="24"/>
          <w:szCs w:val="24"/>
        </w:rPr>
        <w:t xml:space="preserve"> The Member shall have no obligation to contribute capital in connection with any winding up,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12 — AMENDMENTS; CONSENTS</w:t>
      </w:r>
    </w:p>
    <w:p>
      <w:pPr>
        <w:widowControl/>
        <w:spacing w:after="160"/>
        <w:jc w:val="both"/>
      </w:pPr>
      <w:r>
        <w:rPr>
          <w:rFonts w:ascii="Times New Roman" w:hAnsi="Times New Roman"/>
          <w:b/>
          <w:sz w:val="24"/>
          <w:szCs w:val="24"/>
        </w:rPr>
        <w:t xml:space="preserve">12.1 Amendments.</w:t>
      </w:r>
      <w:r>
        <w:rPr>
          <w:rFonts w:ascii="Times New Roman" w:hAnsi="Times New Roman"/>
          <w:sz w:val="24"/>
          <w:szCs w:val="24"/>
        </w:rPr>
        <w:t xml:space="preserve"> This Agreement, including any Series Exhibit, may be amended only by a written instrument signed by the Member; provided, that (a) the Manager may amend Exhibit A and each Series Exhibit without further consent solely to record changes duly made under this Agreement (admissions, Transfers, and TOD designations); and (b) any amendment changing the rights or obligations of the Manager may not impose new obligations on the Manager without the Manager's written consent. Oral, implied, or course-of-dealing amendments are of no effect.</w:t>
      </w:r>
    </w:p>
    <w:p>
      <w:pPr>
        <w:widowControl/>
        <w:spacing w:after="160"/>
        <w:jc w:val="both"/>
      </w:pPr>
      <w:r>
        <w:rPr>
          <w:rFonts w:ascii="Times New Roman" w:hAnsi="Times New Roman"/>
          <w:b/>
          <w:sz w:val="24"/>
          <w:szCs w:val="24"/>
        </w:rPr>
        <w:t xml:space="preserve">12.2 Action by Written Consent.</w:t>
      </w:r>
      <w:r>
        <w:rPr>
          <w:rFonts w:ascii="Times New Roman" w:hAnsi="Times New Roman"/>
          <w:sz w:val="24"/>
          <w:szCs w:val="24"/>
        </w:rPr>
        <w:t xml:space="preserve"> Any action of the Member, or of the Company, under this Agreement may be taken by a written consent signed by the Member and maintained with the Company's records. No meetings are required.</w:t>
      </w:r>
    </w:p>
    <w:p>
      <w:pPr>
        <w:keepNext/>
        <w:widowControl/>
        <w:spacing w:before="240" w:after="200"/>
      </w:pPr>
      <w:r>
        <w:rPr>
          <w:rFonts w:ascii="Times New Roman" w:hAnsi="Times New Roman"/>
          <w:b/>
          <w:sz w:val="26"/>
          <w:szCs w:val="26"/>
        </w:rPr>
        <w:t xml:space="preserve">ARTICLE 13 — MISCELLANEOUS</w:t>
      </w:r>
    </w:p>
    <w:p>
      <w:pPr>
        <w:widowControl/>
        <w:spacing w:after="160"/>
        <w:jc w:val="both"/>
      </w:pPr>
      <w:r>
        <w:rPr>
          <w:rFonts w:ascii="Times New Roman" w:hAnsi="Times New Roman"/>
          <w:b/>
          <w:sz w:val="24"/>
          <w:szCs w:val="24"/>
        </w:rPr>
        <w:t xml:space="preserve">13.1 Governing Law; Internal Affairs.</w:t>
      </w:r>
      <w:r>
        <w:rPr>
          <w:rFonts w:ascii="Times New Roman" w:hAnsi="Times New Roman"/>
          <w:sz w:val="24"/>
          <w:szCs w:val="24"/>
        </w:rPr>
        <w:t xml:space="preserve"> This Agreement, the internal affairs of the Company and of each Protected Series, and the relations among the Member, the Manager, each Protected Series Manager,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13.2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13.3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13.4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13.5 Binding Effect.</w:t>
      </w:r>
      <w:r>
        <w:rPr>
          <w:rFonts w:ascii="Times New Roman" w:hAnsi="Times New Roman"/>
          <w:sz w:val="24"/>
          <w:szCs w:val="24"/>
        </w:rPr>
        <w:t xml:space="preserve"> This Agreement binds and benefits the Member, the Manager,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13.6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13.7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13.8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13.9 Interpretation.</w:t>
      </w:r>
      <w:r>
        <w:rPr>
          <w:rFonts w:ascii="Times New Roman" w:hAnsi="Times New Roman"/>
          <w:sz w:val="24"/>
          <w:szCs w:val="24"/>
        </w:rPr>
        <w:t xml:space="preserve"> Headings are for convenience only. "Including" means "including without limitation." References to statutes include amendments and successor provisions. Words in the singular include the plural, and words in the plural include the singular, as the context requires.</w:t>
      </w:r>
    </w:p>
    <w:p>
      <w:pPr>
        <w:widowControl/>
        <w:spacing w:after="160"/>
        <w:jc w:val="both"/>
      </w:pPr>
      <w:r>
        <w:rPr>
          <w:rFonts w:ascii="Times New Roman" w:hAnsi="Times New Roman"/>
          <w:b/>
          <w:sz w:val="24"/>
          <w:szCs w:val="24"/>
        </w:rPr>
        <w:t xml:space="preserve">13.10 Unregistered Interests.</w:t>
      </w:r>
      <w:r>
        <w:rPr>
          <w:rFonts w:ascii="Times New Roman" w:hAnsi="Times New Roman"/>
          <w:sz w:val="24"/>
          <w:szCs w:val="24"/>
        </w:rPr>
        <w:t xml:space="preserve"> The Membership Interest has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as of the Effective Date.</w:t>
      </w:r>
    </w:p>
    <w:p>
      <w:pPr>
        <w:keepNext/>
        <w:widowControl/>
        <w:spacing w:after="160"/>
        <w:jc w:val="both"/>
      </w:pPr>
      <w:r>
        <w:rPr>
          <w:rFonts w:ascii="Times New Roman" w:hAnsi="Times New Roman"/>
          <w:b/>
          <w:sz w:val="24"/>
          <w:szCs w:val="24"/>
        </w:rPr>
        <w:t xml:space="preserve">MEMBER:</w:t>
      </w:r>
    </w:p>
    <w:p>
      <w:pPr>
        <w:keepNext/>
        <w:widowControl/>
        <w:spacing w:after="80"/>
        <w:jc w:val="both"/>
      </w:pPr>
      <w:r>
        <w:rPr>
          <w:rStyle w:val="DraftingChoice"/>
          <w:rFonts w:ascii="Times New Roman" w:hAnsi="Times New Roman"/>
          <w:i/>
          <w:sz w:val="24"/>
          <w:szCs w:val="24"/>
        </w:rPr>
        <w:t xml:space="preserve">[If individual member:]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[MEMBER NAME]</w:t>
      </w:r>
    </w:p>
    <w:p>
      <w:pPr>
        <w:keepNext/>
        <w:widowControl/>
        <w:spacing w:after="160"/>
        <w:jc w:val="both"/>
      </w:pPr>
      <w:r>
        <w:rPr>
          <w:rFonts w:ascii="Times New Roman" w:hAnsi="Times New Roman"/>
          <w:sz w:val="24"/>
          <w:szCs w:val="24"/>
        </w:rPr>
        <w:t xml:space="preserve">Date: _____________________________</w:t>
      </w:r>
    </w:p>
    <w:p>
      <w:pPr>
        <w:widowControl/>
        <w:spacing w:after="80"/>
        <w:jc w:val="both"/>
      </w:pPr>
      <w:r>
        <w:rPr>
          <w:rStyle w:val="DraftingChoice"/>
          <w:rFonts w:ascii="Times New Roman" w:hAnsi="Times New Roman"/>
          <w:i/>
          <w:sz w:val="24"/>
          <w:szCs w:val="24"/>
        </w:rPr>
        <w:t xml:space="preserve">[End if individual member.]</w:t>
      </w:r>
    </w:p>
    <w:p>
      <w:pPr>
        <w:keepNext/>
        <w:widowControl/>
        <w:spacing w:after="80"/>
        <w:jc w:val="both"/>
      </w:pPr>
      <w:r>
        <w:rPr>
          <w:rStyle w:val="DraftingChoice"/>
          <w:rFonts w:ascii="Times New Roman" w:hAnsi="Times New Roman"/>
          <w:i/>
          <w:sz w:val="24"/>
          <w:szCs w:val="24"/>
        </w:rPr>
        <w:t xml:space="preserve">[If entity member:]</w:t>
      </w:r>
    </w:p>
    <w:p>
      <w:pPr>
        <w:widowControl/>
        <w:spacing w:after="160"/>
        <w:jc w:val="both"/>
      </w:pPr>
      <w:r>
        <w:rPr>
          <w:rFonts w:ascii="Times New Roman" w:hAnsi="Times New Roman"/>
          <w:sz w:val="24"/>
          <w:szCs w:val="24"/>
        </w:rPr>
        <w:t xml:space="preserve">[MEMBER NAME]</w:t>
      </w:r>
    </w:p>
    <w:p>
      <w:pPr>
        <w:keepNext/>
        <w:widowControl/>
        <w:spacing w:after="160"/>
        <w:jc w:val="both"/>
      </w:pPr>
      <w:r>
        <w:rPr>
          <w:rFonts w:ascii="Times New Roman" w:hAnsi="Times New Roman"/>
          <w:sz w:val="24"/>
          <w:szCs w:val="24"/>
        </w:rPr>
        <w:t xml:space="preserve">By: _____________________________</w:t>
      </w:r>
    </w:p>
    <w:p>
      <w:pPr>
        <w:keepLines/>
        <w:widowControl/>
        <w:spacing w:after="160"/>
        <w:ind w:left="407"/>
      </w:pPr>
      <w:r>
        <w:rPr>
          <w:rFonts w:ascii="Times New Roman" w:hAnsi="Times New Roman"/>
          <w:sz w:val="24"/>
          <w:szCs w:val="24"/>
        </w:rPr>
        <w:t xml:space="preserve">[PRINTED NAME]</w:t>
      </w:r>
    </w:p>
    <w:p>
      <w:pPr>
        <w:keepLines/>
        <w:widowControl/>
        <w:spacing w:after="160"/>
        <w:ind w:left="407"/>
      </w:pPr>
      <w:r>
        <w:rPr>
          <w:rFonts w:ascii="Times New Roman" w:hAnsi="Times New Roman"/>
          <w:sz w:val="24"/>
          <w:szCs w:val="24"/>
        </w:rPr>
        <w:t xml:space="preserve">[TITLE]</w:t>
      </w:r>
    </w:p>
    <w:p>
      <w:pPr>
        <w:keepNext/>
        <w:widowControl/>
        <w:spacing w:after="160"/>
        <w:jc w:val="both"/>
      </w:pPr>
      <w:r>
        <w:rPr>
          <w:rFonts w:ascii="Times New Roman" w:hAnsi="Times New Roman"/>
          <w:sz w:val="24"/>
          <w:szCs w:val="24"/>
        </w:rPr>
        <w:t xml:space="preserve">Date: _____________________________</w:t>
      </w:r>
    </w:p>
    <w:p>
      <w:pPr>
        <w:widowControl/>
        <w:spacing w:after="80"/>
        <w:jc w:val="both"/>
      </w:pPr>
      <w:r>
        <w:rPr>
          <w:rStyle w:val="DraftingChoice"/>
          <w:rFonts w:ascii="Times New Roman" w:hAnsi="Times New Roman"/>
          <w:i/>
          <w:sz w:val="24"/>
          <w:szCs w:val="24"/>
        </w:rPr>
        <w:t xml:space="preserve">[End if entity member.]</w:t>
      </w:r>
    </w:p>
    <w:p>
      <w:pPr>
        <w:widowControl/>
        <w:spacing w:after="160"/>
        <w:jc w:val="both"/>
      </w:pPr>
      <w:r>
        <w:rPr>
          <w:rStyle w:val="DraftingChoice"/>
          <w:rFonts w:ascii="Times New Roman" w:hAnsi="Times New Roman"/>
          <w:i/>
          <w:sz w:val="24"/>
          <w:szCs w:val="24"/>
        </w:rPr>
        <w:t xml:space="preserve">[One manager: </w:t>
      </w:r>
      <w:r>
        <w:rPr>
          <w:rFonts w:ascii="Times New Roman" w:hAnsi="Times New Roman"/>
          <w:b/>
          <w:sz w:val="24"/>
          <w:szCs w:val="24"/>
        </w:rPr>
        <w:t xml:space="preserve">ACKNOWLEDGED AND AGREED BY MANAGER:</w:t>
      </w:r>
      <w:r>
        <w:rPr>
          <w:rStyle w:val="DraftingChoice"/>
          <w:rFonts w:ascii="Times New Roman" w:hAnsi="Times New Roman"/>
          <w:i/>
          <w:sz w:val="24"/>
          <w:szCs w:val="24"/>
        </w:rPr>
        <w:t xml:space="preserve">]</w:t>
      </w:r>
      <w:r>
        <w:rPr>
          <w:rFonts w:ascii="Times New Roman" w:hAnsi="Times New Roman"/>
          <w:sz w:val="24"/>
          <w:szCs w:val="24"/>
        </w:rPr>
        <w:t xml:space="preserve">  </w:t>
      </w:r>
      <w:r>
        <w:rPr>
          <w:rStyle w:val="DraftingChoice"/>
          <w:rFonts w:ascii="Times New Roman" w:hAnsi="Times New Roman"/>
          <w:i/>
          <w:sz w:val="24"/>
          <w:szCs w:val="24"/>
        </w:rPr>
        <w:t xml:space="preserve">[Multiple managers: </w:t>
      </w:r>
      <w:r>
        <w:rPr>
          <w:rFonts w:ascii="Times New Roman" w:hAnsi="Times New Roman"/>
          <w:b/>
          <w:sz w:val="24"/>
          <w:szCs w:val="24"/>
        </w:rPr>
        <w:t xml:space="preserve">ACKNOWLEDGED AND AGREED BY MANAGERS:</w:t>
      </w:r>
      <w:r>
        <w:rPr>
          <w:rStyle w:val="DraftingChoice"/>
          <w:rFonts w:ascii="Times New Roman" w:hAnsi="Times New Roman"/>
          <w:i/>
          <w:sz w:val="24"/>
          <w:szCs w:val="24"/>
        </w:rPr>
        <w:t xml:space="preserve">]</w:t>
      </w:r>
    </w:p>
    <w:p>
      <w:pPr>
        <w:keepNext/>
        <w:widowControl/>
        <w:spacing w:after="80"/>
        <w:jc w:val="both"/>
      </w:pPr>
      <w:r>
        <w:rPr>
          <w:rStyle w:val="DraftingChoice"/>
          <w:rFonts w:ascii="Times New Roman" w:hAnsi="Times New Roman"/>
          <w:i/>
          <w:sz w:val="24"/>
          <w:szCs w:val="24"/>
        </w:rPr>
        <w:t xml:space="preserve">[If individual signer:]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[MANAGER NAME], Manager</w:t>
      </w:r>
    </w:p>
    <w:p>
      <w:pPr>
        <w:keepNext/>
        <w:widowControl/>
        <w:spacing w:after="160"/>
        <w:jc w:val="both"/>
      </w:pPr>
      <w:r>
        <w:rPr>
          <w:rFonts w:ascii="Times New Roman" w:hAnsi="Times New Roman"/>
          <w:sz w:val="24"/>
          <w:szCs w:val="24"/>
        </w:rPr>
        <w:t xml:space="preserve">Date: _____________________________</w:t>
      </w:r>
    </w:p>
    <w:p>
      <w:pPr>
        <w:widowControl/>
        <w:spacing w:after="80"/>
        <w:jc w:val="both"/>
      </w:pPr>
      <w:r>
        <w:rPr>
          <w:rStyle w:val="DraftingChoice"/>
          <w:rFonts w:ascii="Times New Roman" w:hAnsi="Times New Roman"/>
          <w:i/>
          <w:sz w:val="24"/>
          <w:szCs w:val="24"/>
        </w:rPr>
        <w:t xml:space="preserve">[End if individual signer.]</w:t>
      </w:r>
    </w:p>
    <w:p>
      <w:pPr>
        <w:keepNext/>
        <w:widowControl/>
        <w:spacing w:after="80"/>
        <w:jc w:val="both"/>
      </w:pPr>
      <w:r>
        <w:rPr>
          <w:rStyle w:val="DraftingChoice"/>
          <w:rFonts w:ascii="Times New Roman" w:hAnsi="Times New Roman"/>
          <w:i/>
          <w:sz w:val="24"/>
          <w:szCs w:val="24"/>
        </w:rPr>
        <w:t xml:space="preserve">[If entity signer:]</w:t>
      </w:r>
    </w:p>
    <w:p>
      <w:pPr>
        <w:widowControl/>
        <w:spacing w:after="160"/>
        <w:jc w:val="both"/>
      </w:pPr>
      <w:r>
        <w:rPr>
          <w:rFonts w:ascii="Times New Roman" w:hAnsi="Times New Roman"/>
          <w:sz w:val="24"/>
          <w:szCs w:val="24"/>
        </w:rPr>
        <w:t xml:space="preserve">[MANAGER NAME], Manager</w:t>
      </w:r>
    </w:p>
    <w:p>
      <w:pPr>
        <w:keepNext/>
        <w:widowControl/>
        <w:spacing w:after="160"/>
        <w:jc w:val="both"/>
      </w:pPr>
      <w:r>
        <w:rPr>
          <w:rFonts w:ascii="Times New Roman" w:hAnsi="Times New Roman"/>
          <w:sz w:val="24"/>
          <w:szCs w:val="24"/>
        </w:rPr>
        <w:t xml:space="preserve">By: _____________________________</w:t>
      </w:r>
    </w:p>
    <w:p>
      <w:pPr>
        <w:keepLines/>
        <w:widowControl/>
        <w:spacing w:after="160"/>
        <w:ind w:left="407"/>
      </w:pPr>
      <w:r>
        <w:rPr>
          <w:rFonts w:ascii="Times New Roman" w:hAnsi="Times New Roman"/>
          <w:sz w:val="24"/>
          <w:szCs w:val="24"/>
        </w:rPr>
        <w:t xml:space="preserve">[PRINTED NAME]</w:t>
      </w:r>
    </w:p>
    <w:p>
      <w:pPr>
        <w:keepLines/>
        <w:widowControl/>
        <w:spacing w:after="160"/>
        <w:ind w:left="407"/>
      </w:pPr>
      <w:r>
        <w:rPr>
          <w:rFonts w:ascii="Times New Roman" w:hAnsi="Times New Roman"/>
          <w:sz w:val="24"/>
          <w:szCs w:val="24"/>
        </w:rPr>
        <w:t xml:space="preserve">[TITLE]</w:t>
      </w:r>
    </w:p>
    <w:p>
      <w:pPr>
        <w:keepNext/>
        <w:widowControl/>
        <w:spacing w:after="160"/>
        <w:jc w:val="both"/>
      </w:pPr>
      <w:r>
        <w:rPr>
          <w:rFonts w:ascii="Times New Roman" w:hAnsi="Times New Roman"/>
          <w:sz w:val="24"/>
          <w:szCs w:val="24"/>
        </w:rPr>
        <w:t xml:space="preserve">Date: _____________________________</w:t>
      </w:r>
    </w:p>
    <w:p>
      <w:pPr>
        <w:widowControl/>
        <w:spacing w:after="80"/>
        <w:jc w:val="both"/>
      </w:pPr>
      <w:r>
        <w:rPr>
          <w:rStyle w:val="DraftingChoice"/>
          <w:rFonts w:ascii="Times New Roman" w:hAnsi="Times New Roman"/>
          <w:i/>
          <w:sz w:val="24"/>
          <w:szCs w:val="24"/>
        </w:rPr>
        <w:t xml:space="preserve">[End if entity signer.]</w:t>
      </w:r>
    </w:p>
    <w:p>
      <w:pPr>
        <w:pageBreakBefore/>
        <w:keepNext/>
        <w:widowControl/>
        <w:spacing w:before="240" w:after="200"/>
      </w:pPr>
      <w:r>
        <w:rPr>
          <w:rFonts w:ascii="Times New Roman" w:hAnsi="Times New Roman"/>
          <w:b/>
          <w:sz w:val="26"/>
          <w:szCs w:val="26"/>
        </w:rPr>
        <w:t xml:space="preserve">EXHIBIT A — MEMBER; CONTRIBUTIONS; TOD DESIGNATION</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Information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Membership Interest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100% (single class of ownership)</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contribution to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 of contribution</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Capital allocated by the Company to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[SERIES CONTRIBUTIONS]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 by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Contributed assets: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Agreed value</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Allocated to</w:t>
            </w:r>
          </w:p>
        </w:tc>
      </w:tr>
      <w:tr>
        <w:trP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VALUE]</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TO]</w:t>
            </w:r>
          </w:p>
        </w:tc>
      </w:tr>
    </w:tbl>
    <w:p>
      <w:pPr>
        <w:widowControl/>
        <w:spacing w:after="0"/>
      </w:pPr>
      <w:r>
        <w:rPr>
          <w:rFonts w:ascii="Times New Roman" w:hAnsi="Times New Roman"/>
          <w:sz w:val="24"/>
        </w:rPr>
      </w:r>
    </w:p>
    <w:p>
      <w:pPr>
        <w:keepNext/>
        <w:widowControl/>
        <w:spacing w:after="160"/>
        <w:jc w:val="both"/>
      </w:pPr>
      <w:r>
        <w:rPr>
          <w:rFonts w:ascii="Times New Roman" w:hAnsi="Times New Roman"/>
          <w:b/>
          <w:sz w:val="24"/>
          <w:szCs w:val="24"/>
        </w:rPr>
        <w:t xml:space="preserve">Transfer on Death designation (ss. 711.50–711.512, Fla. Stat.):</w:t>
      </w:r>
    </w:p>
    <w:p>
      <w:pPr>
        <w:widowControl/>
        <w:spacing w:after="160"/>
        <w:jc w:val="both"/>
      </w:pPr>
      <w:r>
        <w:rPr>
          <w:rFonts w:ascii="Times New Roman" w:hAnsi="Times New Roman"/>
          <w:sz w:val="24"/>
          <w:szCs w:val="24"/>
        </w:rPr>
        <w:t xml:space="preserve">Upon the death of the Member, the Membership Interest shall pass to: </w:t>
      </w:r>
      <w:r>
        <w:rPr>
          <w:rFonts w:ascii="Times New Roman" w:hAnsi="Times New Roman"/>
          <w:b/>
          <w:sz w:val="24"/>
          <w:szCs w:val="24"/>
        </w:rPr>
        <w:t xml:space="preserve">[TOD BENEFICIARY NAME(S)]</w:t>
      </w:r>
      <w:r>
        <w:rPr>
          <w:rFonts w:ascii="Times New Roman" w:hAnsi="Times New Roman"/>
          <w:sz w:val="24"/>
          <w:szCs w:val="24"/>
        </w:rPr>
        <w:t xml:space="preserve">, or if that beneficiary does not survive the Member, to </w:t>
      </w:r>
      <w:r>
        <w:rPr>
          <w:rFonts w:ascii="Times New Roman" w:hAnsi="Times New Roman"/>
          <w:b/>
          <w:sz w:val="24"/>
          <w:szCs w:val="24"/>
        </w:rPr>
        <w:t xml:space="preserve">[TOD BACKUP NAME(S)]</w:t>
      </w:r>
      <w:r>
        <w:rPr>
          <w:rFonts w:ascii="Times New Roman" w:hAnsi="Times New Roman"/>
          <w:sz w:val="24"/>
          <w:szCs w:val="24"/>
        </w:rPr>
        <w:t xml:space="preserve">, or if none is designated or the designation fails, the Membership Interest passes as provided by law. A designation is effective only in favor of a beneficiary that is an eligible S corporation shareholder (Section 9.3(b)).</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Any lawful purpose </w:t>
            </w:r>
            <w:r>
              <w:rPr>
                <w:rStyle w:val="DraftingChoice"/>
                <w:rFonts w:ascii="Times New Roman" w:hAnsi="Times New Roman"/>
                <w:i/>
                <w:sz w:val="22"/>
                <w:szCs w:val="22"/>
              </w:rPr>
              <w:t xml:space="preserve">[If additional series purpose: </w:t>
            </w:r>
            <w:r>
              <w:rPr>
                <w:rFonts w:ascii="Times New Roman" w:hAnsi="Times New Roman"/>
                <w:sz w:val="22"/>
                <w:szCs w:val="22"/>
              </w:rPr>
              <w:t xml:space="preserve">, including, without limitation, [PURPOSE]</w:t>
            </w:r>
            <w:r>
              <w:rPr>
                <w:rStyle w:val="DraftingChoice"/>
                <w:rFonts w:ascii="Times New Roman" w:hAnsi="Times New Roman"/>
                <w:i/>
                <w:sz w:val="22"/>
                <w:szCs w:val="22"/>
              </w:rPr>
              <w:t xml:space="preserv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Article 9, or non-variable provisions of the Act]</w:t>
            </w:r>
          </w:p>
        </w:tc>
      </w:tr>
    </w:tbl>
    <w:p>
      <w:pPr>
        <w:widowControl/>
        <w:spacing w:after="160"/>
      </w:pPr>
      <w:r>
        <w:rPr>
          <w:rFonts w:ascii="Times New Roman" w:hAnsi="Times New Roman"/>
          <w:sz w:val="24"/>
        </w:rPr>
      </w:r>
    </w:p>
    <w:p>
      <w:pPr>
        <w:widowControl/>
        <w:spacing w:after="160"/>
        <w:jc w:val="both"/>
      </w:pPr>
      <w:r>
        <w:rPr>
          <w:rStyle w:val="DraftingChoice"/>
          <w:rFonts w:ascii="Times New Roman" w:hAnsi="Times New Roman"/>
          <w:i/>
          <w:sz w:val="24"/>
          <w:szCs w:val="24"/>
        </w:rPr>
        <w:t xml:space="preserve">[One manager: </w:t>
      </w:r>
      <w:r>
        <w:rPr>
          <w:rFonts w:ascii="Times New Roman" w:hAnsi="Times New Roman"/>
          <w:b/>
          <w:sz w:val="24"/>
          <w:szCs w:val="24"/>
        </w:rPr>
        <w:t xml:space="preserve">Adopted effective [DATE] by the Company, acting through its Manager:</w:t>
      </w:r>
      <w:r>
        <w:rPr>
          <w:rStyle w:val="DraftingChoice"/>
          <w:rFonts w:ascii="Times New Roman" w:hAnsi="Times New Roman"/>
          <w:i/>
          <w:sz w:val="24"/>
          <w:szCs w:val="24"/>
        </w:rPr>
        <w:t xml:space="preserve">]</w:t>
      </w:r>
      <w:r>
        <w:rPr>
          <w:rFonts w:ascii="Times New Roman" w:hAnsi="Times New Roman"/>
          <w:sz w:val="24"/>
          <w:szCs w:val="24"/>
        </w:rPr>
        <w:t xml:space="preserve">  </w:t>
      </w:r>
      <w:r>
        <w:rPr>
          <w:rStyle w:val="DraftingChoice"/>
          <w:rFonts w:ascii="Times New Roman" w:hAnsi="Times New Roman"/>
          <w:i/>
          <w:sz w:val="24"/>
          <w:szCs w:val="24"/>
        </w:rPr>
        <w:t xml:space="preserve">[Multiple managers: </w:t>
      </w:r>
      <w:r>
        <w:rPr>
          <w:rFonts w:ascii="Times New Roman" w:hAnsi="Times New Roman"/>
          <w:b/>
          <w:sz w:val="24"/>
          <w:szCs w:val="24"/>
        </w:rPr>
        <w:t xml:space="preserve">Adopted effective [DATE] by the Company, acting through its Managers:</w:t>
      </w:r>
      <w:r>
        <w:rPr>
          <w:rStyle w:val="DraftingChoice"/>
          <w:rFonts w:ascii="Times New Roman" w:hAnsi="Times New Roman"/>
          <w:i/>
          <w:sz w:val="24"/>
          <w:szCs w:val="24"/>
        </w:rPr>
        <w:t xml:space="preserve">]</w:t>
      </w:r>
    </w:p>
    <w:p>
      <w:pPr>
        <w:keepNext/>
        <w:widowControl/>
        <w:spacing w:after="80"/>
        <w:jc w:val="both"/>
      </w:pPr>
      <w:r>
        <w:rPr>
          <w:rStyle w:val="DraftingChoice"/>
          <w:rFonts w:ascii="Times New Roman" w:hAnsi="Times New Roman"/>
          <w:i/>
          <w:sz w:val="24"/>
          <w:szCs w:val="24"/>
        </w:rPr>
        <w:t xml:space="preserve">[If individual signer:]</w:t>
      </w:r>
    </w:p>
    <w:p>
      <w:pPr>
        <w:widowControl/>
        <w:spacing w:after="160"/>
        <w:jc w:val="both"/>
      </w:pPr>
      <w:r>
        <w:rPr>
          <w:rFonts w:ascii="Times New Roman" w:hAnsi="Times New Roman"/>
          <w:sz w:val="24"/>
          <w:szCs w:val="24"/>
        </w:rPr>
        <w:t xml:space="preserve">_____________________________</w:t>
      </w:r>
    </w:p>
    <w:p>
      <w:pPr>
        <w:keepNext/>
        <w:widowControl/>
        <w:spacing w:after="160"/>
        <w:jc w:val="both"/>
      </w:pPr>
      <w:r>
        <w:rPr>
          <w:rFonts w:ascii="Times New Roman" w:hAnsi="Times New Roman"/>
          <w:sz w:val="24"/>
          <w:szCs w:val="24"/>
        </w:rPr>
        <w:t xml:space="preserve">[ADOPTER NAME], Protected Series Manager</w:t>
      </w:r>
    </w:p>
    <w:p>
      <w:pPr>
        <w:widowControl/>
        <w:spacing w:after="80"/>
        <w:jc w:val="both"/>
      </w:pPr>
      <w:r>
        <w:rPr>
          <w:rStyle w:val="DraftingChoice"/>
          <w:rFonts w:ascii="Times New Roman" w:hAnsi="Times New Roman"/>
          <w:i/>
          <w:sz w:val="24"/>
          <w:szCs w:val="24"/>
        </w:rPr>
        <w:t xml:space="preserve">[End if individual signer.]</w:t>
      </w:r>
    </w:p>
    <w:p>
      <w:pPr>
        <w:keepNext/>
        <w:widowControl/>
        <w:spacing w:after="80"/>
        <w:jc w:val="both"/>
      </w:pPr>
      <w:r>
        <w:rPr>
          <w:rStyle w:val="DraftingChoice"/>
          <w:rFonts w:ascii="Times New Roman" w:hAnsi="Times New Roman"/>
          <w:i/>
          <w:sz w:val="24"/>
          <w:szCs w:val="24"/>
        </w:rPr>
        <w:t xml:space="preserve">[If entity signer:]</w:t>
      </w:r>
    </w:p>
    <w:p>
      <w:pPr>
        <w:widowControl/>
        <w:spacing w:after="160"/>
        <w:jc w:val="both"/>
      </w:pPr>
      <w:r>
        <w:rPr>
          <w:rFonts w:ascii="Times New Roman" w:hAnsi="Times New Roman"/>
          <w:sz w:val="24"/>
          <w:szCs w:val="24"/>
        </w:rPr>
        <w:t xml:space="preserve">[ADOPTER NAME], Protected Series Manager</w:t>
      </w:r>
    </w:p>
    <w:p>
      <w:pPr>
        <w:keepNext/>
        <w:widowControl/>
        <w:spacing w:after="160"/>
        <w:jc w:val="both"/>
      </w:pPr>
      <w:r>
        <w:rPr>
          <w:rFonts w:ascii="Times New Roman" w:hAnsi="Times New Roman"/>
          <w:sz w:val="24"/>
          <w:szCs w:val="24"/>
        </w:rPr>
        <w:t xml:space="preserve">By: _____________________________</w:t>
      </w:r>
    </w:p>
    <w:p>
      <w:pPr>
        <w:keepLines/>
        <w:widowControl/>
        <w:spacing w:after="160"/>
        <w:ind w:left="407"/>
      </w:pPr>
      <w:r>
        <w:rPr>
          <w:rFonts w:ascii="Times New Roman" w:hAnsi="Times New Roman"/>
          <w:sz w:val="24"/>
          <w:szCs w:val="24"/>
        </w:rPr>
        <w:t xml:space="preserve">[PRINTED NAME]</w:t>
      </w:r>
    </w:p>
    <w:p>
      <w:pPr>
        <w:keepNext/>
        <w:keepLines/>
        <w:widowControl/>
        <w:spacing w:after="160"/>
        <w:ind w:left="407"/>
      </w:pPr>
      <w:r>
        <w:rPr>
          <w:rFonts w:ascii="Times New Roman" w:hAnsi="Times New Roman"/>
          <w:sz w:val="24"/>
          <w:szCs w:val="24"/>
        </w:rPr>
        <w:t xml:space="preserve">[TITLE]</w:t>
      </w:r>
    </w:p>
    <w:p>
      <w:pPr>
        <w:widowControl/>
        <w:spacing w:after="80"/>
        <w:jc w:val="both"/>
      </w:pPr>
      <w:r>
        <w:rPr>
          <w:rStyle w:val="DraftingChoice"/>
          <w:rFonts w:ascii="Times New Roman" w:hAnsi="Times New Roman"/>
          <w:i/>
          <w:sz w:val="24"/>
          <w:szCs w:val="24"/>
        </w:rPr>
        <w:t xml:space="preserve">[End if entity signer.]</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(Manager-Managed, Single Member / S Corporation), v1 draft. Statutory citations in this form: ss. 48.062, 605.0102, 605.0302, 605.0602, 605.2101, 605.2103, 605.2107, 605.2201, 605.2301, 605.2302, 605.2303, 605.2304, 605.2401, 605.2602, 605.2605, 605.2607, 605.2802, 605.04074, 711.50, 711.501, 711.512, Fla. Stat. Internal Revenue Code sections: 1361, 1362, 1378.</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