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Single Member)</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keepLines/>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2.12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keepLines/>
        <w:widowControl/>
        <w:spacing w:before="240" w:after="0"/>
      </w:pPr>
      <w:r>
        <w:rPr>
          <w:rFonts w:ascii="Times New Roman" w:hAnsi="Times New Roman"/>
          <w:b/>
          <w:sz w:val="26"/>
          <w:szCs w:val="26"/>
        </w:rPr>
        <w:t xml:space="preserve">ARTICLE 4 — THE MEMBER; MEMBERSHIP INTEREST</w:t>
      </w:r>
    </w:p>
    <w:p>
      <w:pPr>
        <w:keepLines/>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keepLines/>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5.6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keepLines/>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DISTRIBUTIONS</w:t>
      </w:r>
    </w:p>
    <w:p>
      <w:pPr>
        <w:keepLines/>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keepLines/>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and each Protected Series each be disregarded as an entity separate from the Member for federal income tax purposes, and that all items of income, gain, loss, deduction, and credit be reported directly by the Member.</w:t>
      </w:r>
    </w:p>
    <w:p>
      <w:pPr>
        <w:keepLines/>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keepLines/>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9.4 Change in Circumstances.</w:t>
      </w:r>
      <w:r>
        <w:rPr>
          <w:rFonts w:ascii="Times New Roman" w:hAnsi="Times New Roman"/>
          <w:sz w:val="24"/>
          <w:szCs w:val="24"/>
        </w:rPr>
        <w:t xml:space="preserve"> If any Protected Series or the Company ceases to qualify for disregarded treatment (including upon the admission of an additional member or the association of an additional person with any Protected Series), the Member and the Manager shall amend this Agreement (or adopt the Company's partnership-form operating agreement) as provided in Article 11 before or promptly upon the change.</w:t>
      </w:r>
    </w:p>
    <w:p>
      <w:pPr>
        <w:keepNext/>
        <w:keepLines/>
        <w:widowControl/>
        <w:spacing w:before="240" w:after="0"/>
      </w:pPr>
      <w:r>
        <w:rPr>
          <w:rFonts w:ascii="Times New Roman" w:hAnsi="Times New Roman"/>
          <w:b/>
          <w:sz w:val="26"/>
          <w:szCs w:val="26"/>
        </w:rPr>
        <w:t xml:space="preserve">ARTICLE 10 — TRANSFERS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The Member shall not Transfer all or any portion of the Membership Interest, or any right to receive distributions from the Company or any Protected Series, except (a) a Transfer to an Immediate Family Member made in compliance with Section 10.2, (b) a Transfer effective at death pursuant to the TOD designation under Section 4.6, or (c) another Transfer approved in writing by the Member and reflected in an amendment to Exhibit A.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the Membership Interest to an Immediate Family Member is permitted, provided the transferee delivers to the Company a signed agreement to be bound by this Agreement. A transferee (other than a person admitted as a member under Section 11.1) holds only the transferable interest — the right to receive distributions that would otherwise be paid to the Member with respect to the transferred interest — and has no right to participate in management, to inspect records, or to exercise any other right of a member.</w:t>
      </w:r>
    </w:p>
    <w:p>
      <w:pPr>
        <w:keepLines/>
        <w:widowControl/>
        <w:spacing w:after="160"/>
        <w:jc w:val="both"/>
      </w:pPr>
      <w:r>
        <w:rPr>
          <w:rFonts w:ascii="Times New Roman" w:hAnsi="Times New Roman"/>
          <w:b/>
          <w:sz w:val="24"/>
          <w:szCs w:val="24"/>
        </w:rPr>
        <w:t xml:space="preserve">10.3 No Dissociation by Transfer Alone.</w:t>
      </w:r>
      <w:r>
        <w:rPr>
          <w:rFonts w:ascii="Times New Roman" w:hAnsi="Times New Roman"/>
          <w:sz w:val="24"/>
          <w:szCs w:val="24"/>
        </w:rPr>
        <w:t xml:space="preserve"> A Transfer does not by itself dissociate the Member or dissolve the Company or any Protected Series.</w:t>
      </w:r>
    </w:p>
    <w:p>
      <w:pPr>
        <w:keepNext/>
        <w:keepLines/>
        <w:widowControl/>
        <w:spacing w:before="240" w:after="0"/>
      </w:pPr>
      <w:r>
        <w:rPr>
          <w:rFonts w:ascii="Times New Roman" w:hAnsi="Times New Roman"/>
          <w:b/>
          <w:sz w:val="26"/>
          <w:szCs w:val="26"/>
        </w:rPr>
        <w:t xml:space="preserve">ARTICLE 11 — ADMISSION OF ADDITIONAL MEMBERS</w:t>
      </w:r>
    </w:p>
    <w:p>
      <w:pPr>
        <w:keepLines/>
        <w:widowControl/>
        <w:spacing w:after="160"/>
        <w:jc w:val="both"/>
      </w:pPr>
      <w:r>
        <w:rPr>
          <w:rFonts w:ascii="Times New Roman" w:hAnsi="Times New Roman"/>
          <w:b/>
          <w:sz w:val="24"/>
          <w:szCs w:val="24"/>
        </w:rPr>
        <w:t xml:space="preserve">11.1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keepLines/>
        <w:widowControl/>
        <w:spacing w:after="160"/>
        <w:jc w:val="both"/>
      </w:pPr>
      <w:r>
        <w:rPr>
          <w:rFonts w:ascii="Times New Roman" w:hAnsi="Times New Roman"/>
          <w:b/>
          <w:sz w:val="24"/>
          <w:szCs w:val="24"/>
        </w:rPr>
        <w:t xml:space="preserve">11.2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11.3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12 — DISSOLUTION AND WINDING UP</w:t>
      </w:r>
    </w:p>
    <w:p>
      <w:pPr>
        <w:keepLines/>
        <w:widowControl/>
        <w:spacing w:after="160"/>
        <w:jc w:val="both"/>
      </w:pPr>
      <w:r>
        <w:rPr>
          <w:rFonts w:ascii="Times New Roman" w:hAnsi="Times New Roman"/>
          <w:b/>
          <w:sz w:val="24"/>
          <w:szCs w:val="24"/>
        </w:rPr>
        <w:t xml:space="preserve">12.1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b/>
          <w:sz w:val="24"/>
          <w:szCs w:val="24"/>
        </w:rPr>
        <w:t xml:space="preserve">12.2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12.3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12.4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12.5 No Deficit Obligation; Recourse Limited.</w:t>
      </w:r>
      <w:r>
        <w:rPr>
          <w:rFonts w:ascii="Times New Roman" w:hAnsi="Times New Roman"/>
          <w:sz w:val="24"/>
          <w:szCs w:val="24"/>
        </w:rPr>
        <w:t xml:space="preserve"> The Member shall have no obligation to restore any deficit or to contribute capital in connection with any winding up,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13 — AMENDMENTS; CONSENTS</w:t>
      </w:r>
    </w:p>
    <w:p>
      <w:pPr>
        <w:keepLines/>
        <w:widowControl/>
        <w:spacing w:after="160"/>
        <w:jc w:val="both"/>
      </w:pPr>
      <w:r>
        <w:rPr>
          <w:rFonts w:ascii="Times New Roman" w:hAnsi="Times New Roman"/>
          <w:b/>
          <w:sz w:val="24"/>
          <w:szCs w:val="24"/>
        </w:rPr>
        <w:t xml:space="preserve">13.1 Amendments.</w:t>
      </w:r>
      <w:r>
        <w:rPr>
          <w:rFonts w:ascii="Times New Roman" w:hAnsi="Times New Roman"/>
          <w:sz w:val="24"/>
          <w:szCs w:val="24"/>
        </w:rPr>
        <w:t xml:space="preserve"> This Agreement, including any Series Exhibit, may be amended only by a written instrument signed by the Member; provided, that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13.2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keepLines/>
        <w:widowControl/>
        <w:spacing w:before="240" w:after="0"/>
      </w:pPr>
      <w:r>
        <w:rPr>
          <w:rFonts w:ascii="Times New Roman" w:hAnsi="Times New Roman"/>
          <w:b/>
          <w:sz w:val="26"/>
          <w:szCs w:val="26"/>
        </w:rPr>
        <w:t xml:space="preserve">ARTICLE 14 — MISCELLANEOUS</w:t>
      </w:r>
    </w:p>
    <w:p>
      <w:pPr>
        <w:keepLines/>
        <w:widowControl/>
        <w:spacing w:after="160"/>
        <w:jc w:val="both"/>
      </w:pPr>
      <w:r>
        <w:rPr>
          <w:rFonts w:ascii="Times New Roman" w:hAnsi="Times New Roman"/>
          <w:b/>
          <w:sz w:val="24"/>
          <w:szCs w:val="24"/>
        </w:rPr>
        <w:t xml:space="preserve">14.1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14.2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14.3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14.4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14.5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14.6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14.7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14.8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14.9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14.10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 CONTRIBUTIONS; TOD DESIGNATION</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