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the Florida Uniform Protected Series Act</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by the company and managed by the people your agreement names in Article 5, never by the company itself;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and debts,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every form of our agreement varies that default and names the Manager or the owners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In the manager-managed forms each series is run by the company's Manager unless its Series Exhibit names someone else for that series. In the member-managed forms there is no manager: the owners run the company and are themselves named each series' protected-series managers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manager,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eight versions. Three questions decide which one you have: </w:t>
      </w:r>
      <w:r>
        <w:rPr>
          <w:rFonts w:ascii="Georgia" w:hAnsi="Georgia"/>
          <w:b/>
          <w:sz w:val="22"/>
          <w:szCs w:val="22"/>
        </w:rPr>
        <w:t xml:space="preserve">who manages the company</w:t>
      </w:r>
      <w:r>
        <w:rPr>
          <w:rFonts w:ascii="Georgia" w:hAnsi="Georgia"/>
          <w:sz w:val="22"/>
          <w:szCs w:val="22"/>
        </w:rPr>
        <w:t xml:space="preserve">, </w:t>
      </w:r>
      <w:r>
        <w:rPr>
          <w:rFonts w:ascii="Georgia" w:hAnsi="Georgia"/>
          <w:b/>
          <w:sz w:val="22"/>
          <w:szCs w:val="22"/>
        </w:rPr>
        <w:t xml:space="preserve">how many owners it has</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Standard (disregarded / partnership)</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eight share the same skeleton through Article 9. From there the multi-owner forms run to Article 16 — transfers (10), the bankruptcy provisions (11), admissions (12), dissociation and deadlock (13), dissolution (14), amendments (15), and miscellaneous (16). The single-owner forms need no transfer or deadlock articles (their bankruptcy continuity provision lives in Article 4), so they run to Article 13: admission of an additional member (10), dissolution (11), amendments (12), and miscellaneous (13).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the rule that no owner holds any series directly, voting (multi-owner), the transfer-on-death designation (Section 23), and — in the multi-owner forms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and — as s. 605.2107(1)(n) permits — are themselves named each series' protected-series managers (with one owner, that is you),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(contribution records, not capital accounts, in the S corporation forms),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single-owner forms:</w:t>
            </w:r>
            <w:r>
              <w:rPr>
                <w:rFonts w:ascii="Georgia" w:hAnsi="Georgia"/>
                <w:sz w:val="20"/>
                <w:szCs w:val="20"/>
              </w:rPr>
              <w:t xml:space="preserve"> admission of an additional member. Those forms have no transfer article, because Chapter 605 already makes a transfer permissible, gives a transferee distributions and nothing else, and binds a transferee who never signs — there was nothing left for the agreement to add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(multi-owner)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single-owner forms,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several things. Here is what each one does.</w:t>
      </w:r>
    </w:p>
    <w:p>
      <w:pPr>
        <w:widowControl/>
        <w:spacing w:after="160"/>
        <w:jc w:val="both"/>
      </w:pPr>
      <w:r>
        <w:rPr>
          <w:rFonts w:ascii="Georgia" w:hAnsi="Georgia"/>
          <w:b/>
          <w:sz w:val="22"/>
          <w:szCs w:val="22"/>
        </w:rPr>
        <w:t xml:space="preserve">The borrowing limit (§5.4 / §5.5).</w:t>
      </w:r>
      <w:r>
        <w:rPr>
          <w:rFonts w:ascii="Georgia" w:hAnsi="Georgia"/>
          <w:sz w:val="22"/>
          <w:szCs w:val="22"/>
        </w:rPr>
        <w:t xml:space="preserve"> Every form except the single-owner member-managed one asks for a dollar figure: above it, no debt may be incurred and no guarantee given for anyone, without the owners' written consent. There is no default — you chose the number, and it is printed in your agreement. Set it where a borrowing would be big enough that you would want to be asked first.</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and Alternative B operates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widowControl/>
        <w:spacing w:after="160"/>
        <w:jc w:val="both"/>
      </w:pPr>
      <w:r>
        <w:rPr>
          <w:rFonts w:ascii="Georgia" w:hAnsi="Georgia"/>
          <w:b/>
          <w:sz w:val="22"/>
          <w:szCs w:val="22"/>
        </w:rPr>
        <w:t xml:space="preserve">Spouses holding as one (Exhibit A).</w:t>
      </w:r>
      <w:r>
        <w:rPr>
          <w:rFonts w:ascii="Georgia" w:hAnsi="Georgia"/>
          <w:sz w:val="22"/>
          <w:szCs w:val="22"/>
        </w:rPr>
        <w:t xml:space="preserve"> In the multi-owner forms, a married couple may hold one combined interest as tenants by the entirety — Florida's strongest form for spouses — or as joint tenants with right of survivorship. The couple votes only by the consensus of both spouses, and a transfer-on-death designation on that interest takes effect at the death of the last surviving spouse.</w:t>
      </w:r>
    </w:p>
    <w:p>
      <w:pPr>
        <w:widowControl/>
        <w:spacing w:after="160"/>
        <w:jc w:val="both"/>
      </w:pPr>
      <w:r>
        <w:rPr>
          <w:rFonts w:ascii="Georgia" w:hAnsi="Georgia"/>
          <w:b/>
          <w:sz w:val="22"/>
          <w:szCs w:val="22"/>
        </w:rPr>
        <w:t xml:space="preserve">Percentages or fractions (Exhibit A).</w:t>
      </w:r>
      <w:r>
        <w:rPr>
          <w:rFonts w:ascii="Georgia" w:hAnsi="Georgia"/>
          <w:sz w:val="22"/>
          <w:szCs w:val="22"/>
        </w:rPr>
        <w:t xml:space="preserve"> Ownership can be stated as percentages or as exact fractions — three equal owners are 1/3 each, which no percentage writes exactly.</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none of the multi-owner bankruptcy armor, and its tax treatment changes the moment a second member is admitted. Move to the multi-member form at the same time, not later. (The portal does this for you: add the new owner in the operating agreement questionnaire, and the regenerated agreement is built on the multi-owner form automatically.)</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Article 5's shared-expense allocation,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Section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memorize.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Nominee arrangements — lawful, with one duty attached.</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that handles money has at least one account of its own.</w:t>
      </w:r>
      <w:r>
        <w:rPr>
          <w:rFonts w:ascii="Georgia" w:hAnsi="Georgia"/>
          <w:sz w:val="22"/>
          <w:szCs w:val="22"/>
        </w:rPr>
        <w:t xml:space="preserve"> The company has its own; each active series has its own — more than one where the business calls for it (an operating account and a security-deposit account, say). What no two silos may ever do is share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Every silo has at least one account of its own, and no commingling</w:t>
      </w:r>
      <w:r>
        <w:rPr>
          <w:rFonts w:ascii="Georgia" w:hAnsi="Georgia"/>
          <w:sz w:val="22"/>
          <w:szCs w:val="22"/>
        </w:rPr>
        <w:t xml:space="preserve"> (Section 12). Nothing in ch. 605 requires separate accounts and your agreement does not either — they are evidence, and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or another location,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lets a creditor test association as of the date a liability was incurred, so a fix made after a claim exists comes too late for that claim).</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Section 16 is settled law. This section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Section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You own the company; the company owns the series. (Management is a different question with a deliberate answer: Florida's default, s. 605.2304(2), would make the company each series' protected-series manager — and every form of our agreement varies that default, so the role, and the liability that follows management authority, sits with the people named in Article 5, never with the entity that owns every series' interests.)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Section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commercial space, rents short-term lodging, or sells taxable goods — its own Department of Revenue registration and collections, plus county tourist development taxes on short-term rentals.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widowControl/>
        <w:spacing w:before="200" w:after="80"/>
      </w:pPr>
      <w:r>
        <w:rPr>
          <w:rFonts w:ascii="Georgia" w:hAnsi="Georgia"/>
          <w:b/>
          <w:sz w:val="24"/>
          <w:szCs w:val="24"/>
        </w:rPr>
        <w:t xml:space="preserve">THE EIN QUESTION — WHO NEEDS ONE, AND WHAT AN EIN DOES NOT MEAN</w:t>
      </w:r>
    </w:p>
    <w:p>
      <w:pPr>
        <w:widowControl/>
        <w:spacing w:after="160"/>
        <w:jc w:val="both"/>
      </w:pPr>
      <w:r>
        <w:rPr>
          <w:rFonts w:ascii="Georgia" w:hAnsi="Georgia"/>
          <w:b/>
          <w:sz w:val="22"/>
          <w:szCs w:val="22"/>
        </w:rPr>
        <w:t xml:space="preserve">The company needs an EIN.</w:t>
      </w:r>
      <w:r>
        <w:rPr>
          <w:rFonts w:ascii="Georgia" w:hAnsi="Georgia"/>
          <w:sz w:val="22"/>
          <w:szCs w:val="22"/>
        </w:rPr>
        <w:t xml:space="preserve"> Its bank requires one for the account, the IRS requires one to process any election, and it is the number the company gives on W-9s so you are not handing out your Social Security number.</w:t>
      </w:r>
    </w:p>
    <w:p>
      <w:pPr>
        <w:keepNext/>
        <w:widowControl/>
        <w:spacing w:after="160"/>
        <w:jc w:val="both"/>
      </w:pPr>
      <w:r>
        <w:rPr>
          <w:rFonts w:ascii="Georgia" w:hAnsi="Georgia"/>
          <w:b/>
          <w:sz w:val="22"/>
          <w:szCs w:val="22"/>
        </w:rPr>
        <w:t xml:space="preserve">A protected series usually does not need one.</w:t>
      </w:r>
      <w:r>
        <w:rPr>
          <w:rFonts w:ascii="Georgia" w:hAnsi="Georgia"/>
          <w:sz w:val="22"/>
          <w:szCs w:val="22"/>
        </w:rPr>
        <w:t xml:space="preserve"> Every series is wholly owned by the company, so for federal income tax it is disregarded (this Section): the IRS will never ask a series for an income tax return. A series needs — or benefits from — its own EIN only in limited circumstances:</w:t>
      </w:r>
    </w:p>
    <w:p>
      <w:pPr>
        <w:numPr>
          <w:ilvl w:val="0"/>
          <w:numId w:val="1"/>
        </w:numPr>
        <w:keepLines/>
        <w:widowControl/>
        <w:spacing w:after="80"/>
        <w:jc w:val="both"/>
      </w:pPr>
      <w:r>
        <w:rPr>
          <w:rFonts w:ascii="Georgia" w:hAnsi="Georgia"/>
          <w:b/>
          <w:sz w:val="22"/>
          <w:szCs w:val="22"/>
        </w:rPr>
        <w:t xml:space="preserve">Its bank insists.</w:t>
      </w:r>
      <w:r>
        <w:rPr>
          <w:rFonts w:ascii="Georgia" w:hAnsi="Georgia"/>
          <w:sz w:val="22"/>
          <w:szCs w:val="22"/>
        </w:rPr>
        <w:t xml:space="preserve"> Most banks require an EIN for an account titled in the series' name. This is the most common reason by far, and it is a banking rule, not a tax rule. Your CPA or our EIN service can obtain one.</w:t>
      </w:r>
    </w:p>
    <w:p>
      <w:pPr>
        <w:numPr>
          <w:ilvl w:val="0"/>
          <w:numId w:val="1"/>
        </w:numPr>
        <w:keepLines/>
        <w:widowControl/>
        <w:spacing w:after="80"/>
        <w:jc w:val="both"/>
      </w:pPr>
      <w:r>
        <w:rPr>
          <w:rFonts w:ascii="Georgia" w:hAnsi="Georgia"/>
          <w:b/>
          <w:sz w:val="22"/>
          <w:szCs w:val="22"/>
        </w:rPr>
        <w:t xml:space="preserve">It has employees.</w:t>
      </w:r>
      <w:r>
        <w:rPr>
          <w:rFonts w:ascii="Georgia" w:hAnsi="Georgia"/>
          <w:sz w:val="22"/>
          <w:szCs w:val="22"/>
        </w:rPr>
        <w:t xml:space="preserve"> Disregarded status does not apply to employment taxes (Treas. Reg. §301.7701-2(c)(2)(iv)); a series that pays wages must have its own EIN and file its own employment returns (Section 16).</w:t>
      </w:r>
    </w:p>
    <w:p>
      <w:pPr>
        <w:numPr>
          <w:ilvl w:val="0"/>
          <w:numId w:val="1"/>
        </w:numPr>
        <w:keepLines/>
        <w:widowControl/>
        <w:spacing w:after="80"/>
        <w:jc w:val="both"/>
      </w:pPr>
      <w:r>
        <w:rPr>
          <w:rFonts w:ascii="Georgia" w:hAnsi="Georgia"/>
          <w:b/>
          <w:sz w:val="22"/>
          <w:szCs w:val="22"/>
        </w:rPr>
        <w:t xml:space="preserve">A counterparty demands a taxpayer number for the named entity</w:t>
      </w:r>
      <w:r>
        <w:rPr>
          <w:rFonts w:ascii="Georgia" w:hAnsi="Georgia"/>
          <w:sz w:val="22"/>
          <w:szCs w:val="22"/>
        </w:rPr>
        <w:t xml:space="preserve"> — a lender, title company, insurer, or property manager. Giving them the company's EIN for a series' business stitches the two identities together on paper, the opposite of the separateness you are documenting.</w:t>
      </w:r>
    </w:p>
    <w:p>
      <w:pPr>
        <w:numPr>
          <w:ilvl w:val="0"/>
          <w:numId w:val="1"/>
        </w:numPr>
        <w:keepLines/>
        <w:widowControl/>
        <w:spacing w:after="80"/>
        <w:jc w:val="both"/>
      </w:pPr>
      <w:r>
        <w:rPr>
          <w:rFonts w:ascii="Georgia" w:hAnsi="Georgia"/>
          <w:b/>
          <w:sz w:val="22"/>
          <w:szCs w:val="22"/>
        </w:rPr>
        <w:t xml:space="preserve">State registrations,</w:t>
      </w:r>
      <w:r>
        <w:rPr>
          <w:rFonts w:ascii="Georgia" w:hAnsi="Georgia"/>
          <w:sz w:val="22"/>
          <w:szCs w:val="22"/>
        </w:rPr>
        <w:t xml:space="preserve"> where a series is the operator — sales tax, tourist development tax, reemployment tax (Section 16).</w:t>
      </w:r>
    </w:p>
    <w:p>
      <w:pPr>
        <w:widowControl/>
        <w:spacing w:after="160"/>
        <w:jc w:val="both"/>
      </w:pPr>
      <w:r>
        <w:rPr>
          <w:rFonts w:ascii="Georgia" w:hAnsi="Georgia"/>
          <w:b/>
          <w:sz w:val="22"/>
          <w:szCs w:val="22"/>
        </w:rPr>
        <w:t xml:space="preserve">A separate EIN does not mean a separate tax return.</w:t>
      </w:r>
      <w:r>
        <w:rPr>
          <w:rFonts w:ascii="Georgia" w:hAnsi="Georgia"/>
          <w:sz w:val="22"/>
          <w:szCs w:val="22"/>
        </w:rPr>
        <w:t xml:space="preserve"> An EIN is an identification number, not a tax status. Because every series is wholly owned by the mothership, the series never file income tax returns of their own — the only income tax return ever filed for the whole structure is the company's (and where the company itself is disregarded to a single owner, Section 16's table shows that lands on your own Form 1040). If you have questions about the technicalities, ask your attorney or accountant.</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belonging to PS 2 and to the company that owns it.</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(Article 5's exculpation and indemnification sections):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where the agreement places them — with the Manager, or with a majority of the owners — never with the creditor.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widowControl/>
        <w:spacing w:after="160"/>
        <w:jc w:val="both"/>
      </w:pPr>
      <w:r>
        <w:rPr>
          <w:rFonts w:ascii="Georgia" w:hAnsi="Georgia"/>
          <w:b/>
          <w:sz w:val="22"/>
          <w:szCs w:val="22"/>
        </w:rPr>
        <w:t xml:space="preserve">Bankruptcy if you own alone.</w:t>
      </w:r>
      <w:r>
        <w:rPr>
          <w:rFonts w:ascii="Georgia" w:hAnsi="Georgia"/>
          <w:sz w:val="22"/>
          <w:szCs w:val="22"/>
        </w:rPr>
        <w:t xml:space="preserve"> Florida's statute has a trap for the sole owner of a member-managed company: filing bankruptcy automatically expels you as a member (s. 605.0602(8)), and a company with no members starts a 90-day clock toward dissolution — your worst financial day would also dissolve the container holding your assets. Your agreement turns that trap off (§4.7 of the member-managed single-member forms; §4.8 of the manager-managed forms, where the statute does not expel you but the same section keeps management and the series running): filing does not end your membership, the company and every series continue, and whoever ends up holding the interest holds it subject to the agreement. Understand what this section does </w:t>
      </w:r>
      <w:r>
        <w:rPr>
          <w:rFonts w:ascii="Georgia" w:hAnsi="Georgia"/>
          <w:i/>
          <w:sz w:val="22"/>
          <w:szCs w:val="22"/>
        </w:rPr>
        <w:t xml:space="preserve">not</w:t>
      </w:r>
      <w:r>
        <w:rPr>
          <w:rFonts w:ascii="Georgia" w:hAnsi="Georgia"/>
          <w:sz w:val="22"/>
          <w:szCs w:val="22"/>
        </w:rPr>
        <w:t xml:space="preserve"> do: in a single-member company there are no co-members whose rights a bankruptcy court must respect, so the estate steps into your shoes — federal law makes the interest estate property no matter what any agreement says, and any clause that tried to punish filing would be void. The section's job is continuity, not concealment: the business keeps operating, the walls between series stand, and the estate deals with an intact company instead of a dissolving one. If bankruptcy is a live concern, that is a conversation for a bankruptcy attorney before filing, not after.</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Every form of the agreement lets each member register a transfer-on-death beneficiary — anyone the member chooses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with the consent of a majority in interest of the other members — death does not bypass the controls that govern lifetime transfers, and family is treated no differently. In the single-member agreement the beneficiary is admitted as the Member on delivering a signed agreement to be bound, since there is no one else to consent. Keep designations current (the formalities are strict: a signed writing with two witnesses, delivered as your form directs),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$25,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widowControl/>
        <w:spacing w:after="160"/>
        <w:jc w:val="both"/>
      </w:pPr>
      <w:r>
        <w:rPr>
          <w:rFonts w:ascii="Georgia" w:hAnsi="Georgia"/>
          <w:sz w:val="22"/>
          <w:szCs w:val="22"/>
        </w:rPr>
        <w:t xml:space="preserve">☐ Statement of authority, if you filed one, still within its five-year life — re-file and re-record before it lapses</w:t>
      </w:r>
    </w:p>
    <w:p>
      <w:pPr>
        <w:widowControl/>
        <w:spacing w:after="160"/>
        <w:jc w:val="both"/>
      </w:pPr>
      <w:r>
        <w:rPr>
          <w:rFonts w:ascii="Georgia" w:hAnsi="Georgia"/>
          <w:sz w:val="22"/>
          <w:szCs w:val="22"/>
        </w:rPr>
        <w:t xml:space="preserve">☐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File designation online ($25) → ☐ Adopt and sign the Series Exhibit (name exactly as filed; purpose; manager; capital — no associated members; the company owns it)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who manages the company, and who manages a particular series. Manager-managed forms: the company's Manager, unless a Series Exhibit names someone else for that series. Member-managed forms: the owners, and in a single-owner company, you.</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is a $25 online filing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I sold the rental property in one of my series. I'm buying a new rental — can I reuse the empty series and title the new property in it?</w:t>
      </w:r>
      <w:r>
        <w:rPr>
          <w:rFonts w:ascii="Georgia" w:hAnsi="Georgia"/>
          <w:sz w:val="22"/>
          <w:szCs w:val="22"/>
        </w:rPr>
        <w:t xml:space="preserve"> Don't. Reusing a series is a bad idea, because a series keeps its liability history long after its asset is gone — nothing in Florida law forbids the reuse; the problem is what comes with it. A tenant injured during your years of ownership, a deposit dispute, a contractor's unpaid claim, a buyer alleging the roof was misrepresented or that termite damage was undisclosed — claims like these belong to </w:t>
      </w:r>
      <w:r>
        <w:rPr>
          <w:rFonts w:ascii="Georgia" w:hAnsi="Georgia"/>
          <w:i/>
          <w:sz w:val="22"/>
          <w:szCs w:val="22"/>
        </w:rPr>
        <w:t xml:space="preserve">that series</w:t>
      </w:r>
      <w:r>
        <w:rPr>
          <w:rFonts w:ascii="Georgia" w:hAnsi="Georgia"/>
          <w:sz w:val="22"/>
          <w:szCs w:val="22"/>
        </w:rPr>
        <w:t xml:space="preserve">, they can be filed years after the closing, and a judgment on any of them reaches whatever the series owns </w:t>
      </w:r>
      <w:r>
        <w:rPr>
          <w:rFonts w:ascii="Georgia" w:hAnsi="Georgia"/>
          <w:b/>
          <w:sz w:val="22"/>
          <w:szCs w:val="22"/>
        </w:rPr>
        <w:t xml:space="preserve">at the time the creditor enforces</w:t>
      </w:r>
      <w:r>
        <w:rPr>
          <w:rFonts w:ascii="Georgia" w:hAnsi="Georgia"/>
          <w:sz w:val="22"/>
          <w:szCs w:val="22"/>
        </w:rPr>
        <w:t xml:space="preserve"> (s. 605.2404 tests association at enforcement, not just when the liability arose). Title the new property into the old series and you have staked your new investment against the old property's unknown past — the clean compartment you paid for is gone exactly where you need it most. A fresh series costs $25 and gives the new property the one thing the structure exists to provide: a silo with no history. The same logic applies to the sale proceeds: don't leave them parked in the old series, where the old property's tail can reach them — distribute them up to the company, documented, and fund the new purchase into the new series as a recorded contribution (Section 10). Keep the old series alive and empty until you and your advisor are satisfied its exposure has passed, then dissolve it (Section 26) — and never reuse its name or ledger (the same rule Section 26 already gives you).</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